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48740" w14:textId="77777777" w:rsidR="0019780D" w:rsidRPr="00CF392C" w:rsidRDefault="0019780D" w:rsidP="00CF392C">
      <w:pPr>
        <w:pStyle w:val="Body"/>
        <w:jc w:val="both"/>
        <w:rPr>
          <w:rFonts w:cs="Times New Roman"/>
          <w:b/>
          <w:bCs/>
        </w:rPr>
      </w:pPr>
      <w:proofErr w:type="spellStart"/>
      <w:r w:rsidRPr="00CF392C">
        <w:rPr>
          <w:rFonts w:cs="Times New Roman"/>
          <w:b/>
          <w:bCs/>
        </w:rPr>
        <w:t>Liisa-Ly</w:t>
      </w:r>
      <w:proofErr w:type="spellEnd"/>
      <w:r w:rsidRPr="00CF392C">
        <w:rPr>
          <w:rFonts w:cs="Times New Roman"/>
          <w:b/>
          <w:bCs/>
        </w:rPr>
        <w:t xml:space="preserve"> Pakosta</w:t>
      </w:r>
      <w:r w:rsidRPr="00CF392C">
        <w:rPr>
          <w:rFonts w:cs="Times New Roman"/>
          <w:b/>
          <w:bCs/>
        </w:rPr>
        <w:tab/>
      </w:r>
      <w:r w:rsidRPr="00CF392C">
        <w:rPr>
          <w:rFonts w:cs="Times New Roman"/>
          <w:b/>
          <w:bCs/>
        </w:rPr>
        <w:tab/>
      </w:r>
      <w:r w:rsidRPr="00CF392C">
        <w:rPr>
          <w:rFonts w:cs="Times New Roman"/>
          <w:b/>
          <w:bCs/>
        </w:rPr>
        <w:tab/>
      </w:r>
      <w:r w:rsidRPr="00CF392C">
        <w:rPr>
          <w:rFonts w:cs="Times New Roman"/>
          <w:b/>
          <w:bCs/>
        </w:rPr>
        <w:tab/>
      </w:r>
      <w:r w:rsidRPr="00CF392C">
        <w:rPr>
          <w:rFonts w:cs="Times New Roman"/>
          <w:b/>
          <w:bCs/>
        </w:rPr>
        <w:tab/>
      </w:r>
    </w:p>
    <w:p w14:paraId="6CA565AF" w14:textId="36225DDA" w:rsidR="0019780D" w:rsidRPr="00CF392C" w:rsidRDefault="0019780D" w:rsidP="00CF392C">
      <w:pPr>
        <w:pStyle w:val="Body"/>
        <w:jc w:val="both"/>
        <w:rPr>
          <w:rFonts w:cs="Times New Roman"/>
          <w:bCs/>
          <w:color w:val="auto"/>
        </w:rPr>
      </w:pPr>
      <w:r w:rsidRPr="00CF392C">
        <w:rPr>
          <w:rFonts w:cs="Times New Roman"/>
        </w:rPr>
        <w:t>Justiits- ja digiminister</w:t>
      </w:r>
      <w:r w:rsidRPr="00CF392C">
        <w:rPr>
          <w:rFonts w:cs="Times New Roman"/>
          <w:b/>
          <w:bCs/>
        </w:rPr>
        <w:t xml:space="preserve">                                                                  </w:t>
      </w:r>
      <w:r w:rsidRPr="00CF392C">
        <w:rPr>
          <w:rFonts w:cs="Times New Roman"/>
          <w:bCs/>
          <w:color w:val="auto"/>
        </w:rPr>
        <w:t xml:space="preserve">Teie </w:t>
      </w:r>
      <w:r w:rsidR="002845FB">
        <w:rPr>
          <w:rFonts w:cs="Times New Roman"/>
          <w:bCs/>
          <w:color w:val="auto"/>
        </w:rPr>
        <w:t>25.04</w:t>
      </w:r>
      <w:r w:rsidR="0044481E" w:rsidRPr="00CF392C">
        <w:rPr>
          <w:rFonts w:cs="Times New Roman"/>
          <w:bCs/>
          <w:color w:val="auto"/>
        </w:rPr>
        <w:t>.2025</w:t>
      </w:r>
      <w:r w:rsidR="00FA1AC9" w:rsidRPr="00CF392C">
        <w:rPr>
          <w:rFonts w:cs="Times New Roman"/>
          <w:bCs/>
          <w:color w:val="auto"/>
        </w:rPr>
        <w:t xml:space="preserve"> nr 8-3/3802-1</w:t>
      </w:r>
      <w:r w:rsidRPr="00CF392C">
        <w:rPr>
          <w:rFonts w:cs="Times New Roman"/>
          <w:bCs/>
          <w:color w:val="auto"/>
        </w:rPr>
        <w:t xml:space="preserve"> </w:t>
      </w:r>
    </w:p>
    <w:p w14:paraId="203AD6B3" w14:textId="70579391" w:rsidR="0019780D" w:rsidRPr="00CF392C" w:rsidRDefault="0019780D" w:rsidP="00CF392C">
      <w:pPr>
        <w:pStyle w:val="Body"/>
        <w:jc w:val="both"/>
        <w:rPr>
          <w:rFonts w:eastAsia="Times New Roman" w:cs="Times New Roman"/>
          <w:bCs/>
        </w:rPr>
      </w:pPr>
      <w:r w:rsidRPr="00CF392C">
        <w:rPr>
          <w:rFonts w:cs="Times New Roman"/>
        </w:rPr>
        <w:t xml:space="preserve">Justiitsministeerium                                                                      </w:t>
      </w:r>
      <w:r w:rsidRPr="00CF392C">
        <w:rPr>
          <w:rFonts w:eastAsia="Times New Roman" w:cs="Times New Roman"/>
          <w:bCs/>
        </w:rPr>
        <w:t xml:space="preserve">Meie </w:t>
      </w:r>
      <w:r w:rsidR="00A077CA" w:rsidRPr="00CF392C">
        <w:rPr>
          <w:rFonts w:eastAsia="Times New Roman" w:cs="Times New Roman"/>
          <w:bCs/>
        </w:rPr>
        <w:t>28.05</w:t>
      </w:r>
      <w:r w:rsidRPr="00CF392C">
        <w:rPr>
          <w:rFonts w:eastAsia="Times New Roman" w:cs="Times New Roman"/>
          <w:bCs/>
        </w:rPr>
        <w:t>.2025 nr 1-8/</w:t>
      </w:r>
      <w:r w:rsidR="00B0396F" w:rsidRPr="00CF392C">
        <w:rPr>
          <w:rFonts w:eastAsia="Times New Roman" w:cs="Times New Roman"/>
          <w:bCs/>
        </w:rPr>
        <w:t>25/3-1</w:t>
      </w:r>
    </w:p>
    <w:p w14:paraId="0C4B48B4" w14:textId="77777777" w:rsidR="0019780D" w:rsidRPr="00CF392C" w:rsidRDefault="0019780D" w:rsidP="00CF392C">
      <w:pPr>
        <w:pStyle w:val="Body"/>
        <w:jc w:val="both"/>
        <w:rPr>
          <w:rFonts w:cs="Times New Roman"/>
        </w:rPr>
      </w:pPr>
      <w:r w:rsidRPr="00CF392C">
        <w:rPr>
          <w:rFonts w:eastAsia="Times New Roman" w:cs="Times New Roman"/>
          <w:bCs/>
        </w:rPr>
        <w:t>info@justdigi.ee</w:t>
      </w:r>
      <w:r w:rsidRPr="00CF392C">
        <w:rPr>
          <w:rFonts w:cs="Times New Roman"/>
          <w:color w:val="auto"/>
        </w:rPr>
        <w:tab/>
        <w:t xml:space="preserve">            </w:t>
      </w:r>
    </w:p>
    <w:p w14:paraId="3F30D34B" w14:textId="1F80973D" w:rsidR="0019780D" w:rsidRPr="00CF392C" w:rsidRDefault="00B0396F" w:rsidP="00CF392C">
      <w:pPr>
        <w:pStyle w:val="Body"/>
        <w:jc w:val="both"/>
        <w:rPr>
          <w:rFonts w:cs="Times New Roman"/>
        </w:rPr>
      </w:pPr>
      <w:r w:rsidRPr="00CF392C">
        <w:rPr>
          <w:rFonts w:cs="Times New Roman"/>
        </w:rPr>
        <w:t>marilin.reintamm</w:t>
      </w:r>
      <w:r w:rsidR="0019780D" w:rsidRPr="00CF392C">
        <w:rPr>
          <w:rFonts w:cs="Times New Roman"/>
        </w:rPr>
        <w:t>@justdigi.ee</w:t>
      </w:r>
    </w:p>
    <w:p w14:paraId="4F26BD09" w14:textId="77777777" w:rsidR="0019780D" w:rsidRPr="00CF392C" w:rsidRDefault="0019780D" w:rsidP="00CF392C">
      <w:pPr>
        <w:widowControl/>
        <w:suppressAutoHyphens w:val="0"/>
        <w:jc w:val="both"/>
        <w:rPr>
          <w:color w:val="auto"/>
          <w:szCs w:val="24"/>
        </w:rPr>
      </w:pPr>
    </w:p>
    <w:p w14:paraId="1C2EE57A" w14:textId="77777777" w:rsidR="0019780D" w:rsidRPr="00CF392C" w:rsidRDefault="0019780D" w:rsidP="00CF392C">
      <w:pPr>
        <w:widowControl/>
        <w:suppressAutoHyphens w:val="0"/>
        <w:jc w:val="both"/>
        <w:rPr>
          <w:szCs w:val="24"/>
        </w:rPr>
      </w:pPr>
      <w:r w:rsidRPr="00CF392C">
        <w:rPr>
          <w:szCs w:val="24"/>
        </w:rPr>
        <w:tab/>
      </w:r>
      <w:r w:rsidRPr="00CF392C">
        <w:rPr>
          <w:szCs w:val="24"/>
        </w:rPr>
        <w:tab/>
      </w:r>
      <w:r w:rsidRPr="00CF392C">
        <w:rPr>
          <w:szCs w:val="24"/>
        </w:rPr>
        <w:tab/>
      </w:r>
      <w:r w:rsidRPr="00CF392C">
        <w:rPr>
          <w:szCs w:val="24"/>
        </w:rPr>
        <w:tab/>
      </w:r>
      <w:r w:rsidRPr="00CF392C">
        <w:rPr>
          <w:szCs w:val="24"/>
        </w:rPr>
        <w:tab/>
      </w:r>
      <w:r w:rsidRPr="00CF392C">
        <w:rPr>
          <w:szCs w:val="24"/>
        </w:rPr>
        <w:tab/>
      </w:r>
      <w:r w:rsidRPr="00CF392C">
        <w:rPr>
          <w:szCs w:val="24"/>
        </w:rPr>
        <w:tab/>
      </w:r>
      <w:r w:rsidRPr="00CF392C">
        <w:rPr>
          <w:szCs w:val="24"/>
        </w:rPr>
        <w:tab/>
      </w:r>
    </w:p>
    <w:p w14:paraId="4E263FAD" w14:textId="05E8BD0B" w:rsidR="0019780D" w:rsidRPr="00CF392C" w:rsidRDefault="00B0396F" w:rsidP="00CF392C">
      <w:pPr>
        <w:tabs>
          <w:tab w:val="left" w:pos="0"/>
        </w:tabs>
        <w:jc w:val="both"/>
        <w:rPr>
          <w:b/>
          <w:bCs/>
          <w:szCs w:val="24"/>
        </w:rPr>
      </w:pPr>
      <w:r w:rsidRPr="00CF392C">
        <w:rPr>
          <w:b/>
          <w:bCs/>
          <w:szCs w:val="24"/>
        </w:rPr>
        <w:t>Kohtunike töökoormuse ühtlustami</w:t>
      </w:r>
      <w:r w:rsidR="00460748">
        <w:rPr>
          <w:b/>
          <w:bCs/>
          <w:szCs w:val="24"/>
        </w:rPr>
        <w:t>s</w:t>
      </w:r>
      <w:r w:rsidRPr="00CF392C">
        <w:rPr>
          <w:b/>
          <w:bCs/>
          <w:szCs w:val="24"/>
        </w:rPr>
        <w:t>e jt ettepaneku</w:t>
      </w:r>
      <w:r w:rsidR="00460748">
        <w:rPr>
          <w:b/>
          <w:bCs/>
          <w:szCs w:val="24"/>
        </w:rPr>
        <w:t>te</w:t>
      </w:r>
      <w:r w:rsidRPr="00CF392C">
        <w:rPr>
          <w:b/>
          <w:bCs/>
          <w:szCs w:val="24"/>
        </w:rPr>
        <w:t xml:space="preserve"> VTK</w:t>
      </w:r>
    </w:p>
    <w:p w14:paraId="2C65BF31" w14:textId="77777777" w:rsidR="0019780D" w:rsidRPr="00CF392C" w:rsidRDefault="0019780D" w:rsidP="00CF392C">
      <w:pPr>
        <w:tabs>
          <w:tab w:val="left" w:pos="0"/>
        </w:tabs>
        <w:jc w:val="both"/>
        <w:rPr>
          <w:b/>
          <w:bCs/>
          <w:szCs w:val="24"/>
        </w:rPr>
      </w:pPr>
    </w:p>
    <w:p w14:paraId="5664917E" w14:textId="77777777" w:rsidR="0019780D" w:rsidRPr="00CF392C" w:rsidRDefault="0019780D" w:rsidP="00CF392C">
      <w:pPr>
        <w:tabs>
          <w:tab w:val="left" w:pos="0"/>
        </w:tabs>
        <w:jc w:val="both"/>
        <w:rPr>
          <w:szCs w:val="24"/>
        </w:rPr>
      </w:pPr>
    </w:p>
    <w:p w14:paraId="6B2E6EAE" w14:textId="77777777" w:rsidR="0019780D" w:rsidRPr="00CF392C" w:rsidRDefault="0019780D" w:rsidP="00CF392C">
      <w:pPr>
        <w:tabs>
          <w:tab w:val="left" w:pos="0"/>
        </w:tabs>
        <w:jc w:val="both"/>
        <w:rPr>
          <w:szCs w:val="24"/>
        </w:rPr>
      </w:pPr>
      <w:r w:rsidRPr="00CF392C">
        <w:rPr>
          <w:szCs w:val="24"/>
        </w:rPr>
        <w:t xml:space="preserve">Lugupeetud </w:t>
      </w:r>
      <w:proofErr w:type="spellStart"/>
      <w:r w:rsidRPr="00CF392C">
        <w:rPr>
          <w:szCs w:val="24"/>
        </w:rPr>
        <w:t>Liisa-Ly</w:t>
      </w:r>
      <w:proofErr w:type="spellEnd"/>
      <w:r w:rsidRPr="00CF392C">
        <w:rPr>
          <w:szCs w:val="24"/>
        </w:rPr>
        <w:t xml:space="preserve"> Pakosta</w:t>
      </w:r>
    </w:p>
    <w:p w14:paraId="6F58F63B" w14:textId="77777777" w:rsidR="0019780D" w:rsidRPr="00CF392C" w:rsidRDefault="0019780D" w:rsidP="00CF392C">
      <w:pPr>
        <w:tabs>
          <w:tab w:val="left" w:pos="0"/>
        </w:tabs>
        <w:jc w:val="both"/>
        <w:rPr>
          <w:szCs w:val="24"/>
        </w:rPr>
      </w:pPr>
    </w:p>
    <w:p w14:paraId="42EB1A5D" w14:textId="09B9DA2D" w:rsidR="0019780D" w:rsidRPr="00CF392C" w:rsidRDefault="0019780D" w:rsidP="00CF392C">
      <w:pPr>
        <w:tabs>
          <w:tab w:val="left" w:pos="0"/>
        </w:tabs>
        <w:jc w:val="both"/>
        <w:rPr>
          <w:szCs w:val="24"/>
        </w:rPr>
      </w:pPr>
      <w:r w:rsidRPr="00CF392C">
        <w:rPr>
          <w:szCs w:val="24"/>
        </w:rPr>
        <w:t xml:space="preserve">Täname, et olete advokatuurile saatnud arvamuse avaldamiseks </w:t>
      </w:r>
      <w:r w:rsidR="00945EEA" w:rsidRPr="00CF392C">
        <w:rPr>
          <w:szCs w:val="24"/>
        </w:rPr>
        <w:t>kohtunike töökoormuse ühtlustami</w:t>
      </w:r>
      <w:r w:rsidR="00460748">
        <w:rPr>
          <w:szCs w:val="24"/>
        </w:rPr>
        <w:t>s</w:t>
      </w:r>
      <w:r w:rsidR="00945EEA" w:rsidRPr="00CF392C">
        <w:rPr>
          <w:szCs w:val="24"/>
        </w:rPr>
        <w:t>e, asenduskohtunike ametisse nimetamise jt ettepanekute VTK.</w:t>
      </w:r>
      <w:r w:rsidRPr="00CF392C">
        <w:rPr>
          <w:szCs w:val="24"/>
        </w:rPr>
        <w:t xml:space="preserve"> Edastame teile </w:t>
      </w:r>
      <w:r w:rsidR="00945EEA" w:rsidRPr="00CF392C">
        <w:rPr>
          <w:szCs w:val="24"/>
        </w:rPr>
        <w:t>advokatuuri</w:t>
      </w:r>
      <w:r w:rsidR="00017824">
        <w:rPr>
          <w:szCs w:val="24"/>
        </w:rPr>
        <w:t xml:space="preserve"> </w:t>
      </w:r>
      <w:r w:rsidR="00945EEA" w:rsidRPr="00CF392C">
        <w:rPr>
          <w:szCs w:val="24"/>
        </w:rPr>
        <w:t>menetlusõiguse komisjoni</w:t>
      </w:r>
      <w:r w:rsidRPr="00CF392C">
        <w:rPr>
          <w:szCs w:val="24"/>
        </w:rPr>
        <w:t xml:space="preserve"> seisukohad </w:t>
      </w:r>
      <w:r w:rsidR="002C2B55" w:rsidRPr="00CF392C">
        <w:rPr>
          <w:szCs w:val="24"/>
        </w:rPr>
        <w:t>VTK-s konkreetselt esitatud küsimuste</w:t>
      </w:r>
      <w:r w:rsidRPr="00CF392C">
        <w:rPr>
          <w:szCs w:val="24"/>
        </w:rPr>
        <w:t xml:space="preserve"> osas. </w:t>
      </w:r>
    </w:p>
    <w:p w14:paraId="670360B2" w14:textId="77777777" w:rsidR="00CF392C" w:rsidRPr="00CF392C" w:rsidRDefault="00CF392C" w:rsidP="00CF392C">
      <w:pPr>
        <w:jc w:val="both"/>
        <w:rPr>
          <w:szCs w:val="24"/>
        </w:rPr>
      </w:pPr>
    </w:p>
    <w:p w14:paraId="07A16A67" w14:textId="77777777" w:rsidR="00CF392C" w:rsidRPr="00CF392C" w:rsidRDefault="00CF392C" w:rsidP="00CF392C">
      <w:pPr>
        <w:jc w:val="both"/>
        <w:rPr>
          <w:szCs w:val="24"/>
        </w:rPr>
      </w:pPr>
      <w:r w:rsidRPr="00CF392C">
        <w:rPr>
          <w:szCs w:val="24"/>
        </w:rPr>
        <w:t xml:space="preserve"> </w:t>
      </w:r>
    </w:p>
    <w:p w14:paraId="567BADCF" w14:textId="77777777" w:rsidR="00CF392C" w:rsidRDefault="00CF392C" w:rsidP="00CF392C">
      <w:pPr>
        <w:numPr>
          <w:ilvl w:val="0"/>
          <w:numId w:val="9"/>
        </w:numPr>
        <w:jc w:val="both"/>
        <w:rPr>
          <w:b/>
          <w:bCs/>
          <w:szCs w:val="24"/>
        </w:rPr>
      </w:pPr>
      <w:r w:rsidRPr="00CF392C">
        <w:rPr>
          <w:b/>
          <w:bCs/>
          <w:szCs w:val="24"/>
        </w:rPr>
        <w:t xml:space="preserve">Samaliigiliste kohtute ühendamine </w:t>
      </w:r>
    </w:p>
    <w:p w14:paraId="47BE0D4A" w14:textId="77777777" w:rsidR="00CF392C" w:rsidRPr="00CF392C" w:rsidRDefault="00CF392C" w:rsidP="00CF392C">
      <w:pPr>
        <w:jc w:val="both"/>
        <w:rPr>
          <w:b/>
          <w:bCs/>
          <w:szCs w:val="24"/>
        </w:rPr>
      </w:pPr>
    </w:p>
    <w:p w14:paraId="61C7C779" w14:textId="19D1988E" w:rsidR="00CF392C" w:rsidRDefault="00CF392C" w:rsidP="00CF392C">
      <w:pPr>
        <w:jc w:val="both"/>
        <w:rPr>
          <w:szCs w:val="24"/>
        </w:rPr>
      </w:pPr>
      <w:r w:rsidRPr="00CF392C">
        <w:rPr>
          <w:szCs w:val="24"/>
        </w:rPr>
        <w:t xml:space="preserve">Samaliigiliste kohtute ühendamise võimalikkus ja mõttekus eeldab, et muudatus on põhiseaduspärane ja VTK-s püstitatud eesmärke saavutada aitav. </w:t>
      </w:r>
      <w:r w:rsidR="009435D0">
        <w:rPr>
          <w:szCs w:val="24"/>
        </w:rPr>
        <w:t>Käesoleval hetkel p</w:t>
      </w:r>
      <w:r w:rsidRPr="00CF392C">
        <w:rPr>
          <w:szCs w:val="24"/>
        </w:rPr>
        <w:t xml:space="preserve">uudub veendumus, et need eeldused on täidetud. </w:t>
      </w:r>
      <w:r w:rsidR="009435D0">
        <w:rPr>
          <w:szCs w:val="24"/>
        </w:rPr>
        <w:t>A</w:t>
      </w:r>
      <w:r w:rsidRPr="00CF392C">
        <w:rPr>
          <w:szCs w:val="24"/>
        </w:rPr>
        <w:t>rgumen</w:t>
      </w:r>
      <w:r w:rsidR="00151F19">
        <w:rPr>
          <w:szCs w:val="24"/>
        </w:rPr>
        <w:t>did</w:t>
      </w:r>
      <w:r w:rsidRPr="00CF392C">
        <w:rPr>
          <w:szCs w:val="24"/>
        </w:rPr>
        <w:t>, et PS §-de 148 ja 149 sõnastus ei ole juhuslik ning nimetatud sätete mõte on näha ette püramiidmudeli alusel toimiv kohtuorganisatsioon</w:t>
      </w:r>
      <w:r w:rsidR="009435D0">
        <w:rPr>
          <w:szCs w:val="24"/>
        </w:rPr>
        <w:t>, tunduvad kaalukad</w:t>
      </w:r>
      <w:r w:rsidR="005A3081">
        <w:rPr>
          <w:rStyle w:val="FootnoteReference"/>
          <w:szCs w:val="24"/>
        </w:rPr>
        <w:footnoteReference w:id="1"/>
      </w:r>
      <w:r w:rsidR="009435D0">
        <w:rPr>
          <w:szCs w:val="24"/>
        </w:rPr>
        <w:t>.</w:t>
      </w:r>
      <w:r w:rsidRPr="00CF392C">
        <w:rPr>
          <w:szCs w:val="24"/>
        </w:rPr>
        <w:t xml:space="preserve"> Sellisel juhul ei ole võimalik põhiseadust muutmata samaliigilisi kohtuid ühendada. </w:t>
      </w:r>
      <w:r w:rsidR="00482399">
        <w:rPr>
          <w:szCs w:val="24"/>
        </w:rPr>
        <w:t>K</w:t>
      </w:r>
      <w:r w:rsidRPr="00CF392C">
        <w:rPr>
          <w:szCs w:val="24"/>
        </w:rPr>
        <w:t xml:space="preserve">uigi samaliigiliste kohtute ühendamine aitaks tõenäoliselt kaasa osade VTK-s mainitud eesmärkide saavutamisele, võib samaliigiliste kohtute ühendamisel olla ka märkimisväärseid negatiivseid tagajärgi. </w:t>
      </w:r>
    </w:p>
    <w:p w14:paraId="58ECBD20" w14:textId="77777777" w:rsidR="00CF392C" w:rsidRPr="00CF392C" w:rsidRDefault="00CF392C" w:rsidP="00CF392C">
      <w:pPr>
        <w:jc w:val="both"/>
        <w:rPr>
          <w:szCs w:val="24"/>
        </w:rPr>
      </w:pPr>
    </w:p>
    <w:p w14:paraId="2DCD819E" w14:textId="77777777" w:rsidR="00CF392C" w:rsidRDefault="00CF392C" w:rsidP="00CF392C">
      <w:pPr>
        <w:jc w:val="both"/>
        <w:rPr>
          <w:szCs w:val="24"/>
        </w:rPr>
      </w:pPr>
      <w:r w:rsidRPr="00CF392C">
        <w:rPr>
          <w:szCs w:val="24"/>
        </w:rPr>
        <w:t>Teatud liiki kohtuasjade jagamine neile spetsialiseerunud kohtunike kätte suurendaks ilmselt lahendite ettenähtavust ja kvaliteeti. VTK-st jääb aga selgusetuks, kas samaliigiliste kohtute ühendamise korral toimuksid kohtuistungid kohtuniku alaliseks teenistuskohaks olevas kohtumajas või menetlusosalistele lähimas kohtumajas. Kui istungid toimuksid kohtuniku alaliseks teenistuskohaks olevas kohtumajas, muutuks menetlusosaliste jaoks kättesaamatumaks mitte ainult kohus kui asutus, vaid ka kohus kui õigusemõistmise organisatsioon. Kui istungid toimuksid menetlusosalistele lähimas kohtumajas, kuluks kohtunike aeg mitte asjade lahendamisele, vaid kohtumajade vahet sõitmisele. Mainitud tagajärgi saaks vältida, kui erinevates piirkondades oleks iga liiki kohtuasjadele spetsialiseerunud kohtunik(</w:t>
      </w:r>
      <w:proofErr w:type="spellStart"/>
      <w:r w:rsidRPr="00CF392C">
        <w:rPr>
          <w:szCs w:val="24"/>
        </w:rPr>
        <w:t>ud</w:t>
      </w:r>
      <w:proofErr w:type="spellEnd"/>
      <w:r w:rsidRPr="00CF392C">
        <w:rPr>
          <w:szCs w:val="24"/>
        </w:rPr>
        <w:t>), kuid sellisel juhul ei oleks vaja samaliigilisi kohtuid ühendada.</w:t>
      </w:r>
    </w:p>
    <w:p w14:paraId="483C4EAA" w14:textId="0D205E47" w:rsidR="00CF392C" w:rsidRPr="00CF392C" w:rsidRDefault="00CF392C" w:rsidP="00CF392C">
      <w:pPr>
        <w:jc w:val="both"/>
        <w:rPr>
          <w:szCs w:val="24"/>
        </w:rPr>
      </w:pPr>
      <w:r w:rsidRPr="00CF392C">
        <w:rPr>
          <w:szCs w:val="24"/>
        </w:rPr>
        <w:t xml:space="preserve"> </w:t>
      </w:r>
    </w:p>
    <w:p w14:paraId="4CA2A434" w14:textId="77777777" w:rsidR="00CF392C" w:rsidRDefault="00CF392C" w:rsidP="00CF392C">
      <w:pPr>
        <w:jc w:val="both"/>
        <w:rPr>
          <w:szCs w:val="24"/>
        </w:rPr>
      </w:pPr>
      <w:r w:rsidRPr="00CF392C">
        <w:rPr>
          <w:szCs w:val="24"/>
        </w:rPr>
        <w:t xml:space="preserve">Märkimisväärne osa kõigi kohtuastmete kohtunikest on avaldanud seisukohta, et samaliigiliste </w:t>
      </w:r>
      <w:r w:rsidRPr="00CF392C">
        <w:rPr>
          <w:szCs w:val="24"/>
        </w:rPr>
        <w:lastRenderedPageBreak/>
        <w:t xml:space="preserve">kohtute ühendamine ei pruugi olla põhiseaduspärane ning võib ohustada kohtusüsteemi toimimist ja õigusemõistmise kättesaadavust. Kohtunikud on oma seisukohtasid põhjendanud ja VTK ei võimalda väita, et kohtunike väljendatud hirmud oleksid asjatud. Olukorras, kus suur osa kohtunikkonnast näib olevat samaliigiliste kohtute ühendamise vastu, ei tundu mõistlik samaliigilisi kohtuid jõuga ühendades kohtunike töörahu rikkuda ja kohtute sisekliimat pingestada. Kohtunike tagasisidest jääb mulje, et VTK-s on samaliigiliste kohtute negatiivseid tagajärgi alahinnatud. </w:t>
      </w:r>
    </w:p>
    <w:p w14:paraId="4D16D6B5" w14:textId="77777777" w:rsidR="00CF392C" w:rsidRPr="00CF392C" w:rsidRDefault="00CF392C" w:rsidP="00CF392C">
      <w:pPr>
        <w:jc w:val="both"/>
        <w:rPr>
          <w:szCs w:val="24"/>
        </w:rPr>
      </w:pPr>
    </w:p>
    <w:p w14:paraId="16822D91" w14:textId="77777777" w:rsidR="00CF392C" w:rsidRDefault="00CF392C" w:rsidP="00CF392C">
      <w:pPr>
        <w:jc w:val="both"/>
        <w:rPr>
          <w:szCs w:val="24"/>
        </w:rPr>
      </w:pPr>
      <w:r w:rsidRPr="00CF392C">
        <w:rPr>
          <w:szCs w:val="24"/>
        </w:rPr>
        <w:t xml:space="preserve">VTK-s pakutud alternatiivse ettepaneku korral suunata teatud liiki kohtuasjad kohtualluvust muutmata lahendamiseks teise kohtusse langeb küsimus võimalikust põhiseadusvastasusest ära. Küll aga säilib (eelkõige suulises menetluses lahendatavate asjade puhul) küsimus ettepaneku võimalikest mõjudest kohtusüsteemi toimimisele ja õigusemõistmise kättesaadavusele. Võimalike negatiivsete mõjude leevendamiseks tasuks kaaluda VTK-s pakutud alternatiivset ettepanekut peamiselt asjades, mida lahendatakse kirjalikus menetluses. </w:t>
      </w:r>
    </w:p>
    <w:p w14:paraId="108CACAC" w14:textId="77777777" w:rsidR="00CA0090" w:rsidRPr="00CF392C" w:rsidRDefault="00CA0090" w:rsidP="00CF392C">
      <w:pPr>
        <w:jc w:val="both"/>
        <w:rPr>
          <w:szCs w:val="24"/>
        </w:rPr>
      </w:pPr>
    </w:p>
    <w:p w14:paraId="1B1AE2E1" w14:textId="51C2D48B" w:rsidR="00CF392C" w:rsidRPr="00CA0090" w:rsidRDefault="00CF392C" w:rsidP="00CA0090">
      <w:pPr>
        <w:pStyle w:val="ListParagraph"/>
        <w:numPr>
          <w:ilvl w:val="0"/>
          <w:numId w:val="9"/>
        </w:numPr>
        <w:jc w:val="both"/>
        <w:rPr>
          <w:b/>
          <w:bCs/>
          <w:szCs w:val="24"/>
        </w:rPr>
      </w:pPr>
      <w:r w:rsidRPr="00CA0090">
        <w:rPr>
          <w:b/>
          <w:bCs/>
          <w:szCs w:val="24"/>
        </w:rPr>
        <w:t xml:space="preserve">Asenduskohtunike süsteemi loomine </w:t>
      </w:r>
    </w:p>
    <w:p w14:paraId="717E84FD" w14:textId="77777777" w:rsidR="00CF392C" w:rsidRPr="00CF392C" w:rsidRDefault="00CF392C" w:rsidP="00CF392C">
      <w:pPr>
        <w:jc w:val="both"/>
        <w:rPr>
          <w:szCs w:val="24"/>
        </w:rPr>
      </w:pPr>
    </w:p>
    <w:p w14:paraId="1DC0C10B" w14:textId="247F5FB5" w:rsidR="00CF392C" w:rsidRDefault="00647B61" w:rsidP="00CF392C">
      <w:pPr>
        <w:jc w:val="both"/>
        <w:rPr>
          <w:szCs w:val="24"/>
        </w:rPr>
      </w:pPr>
      <w:r>
        <w:rPr>
          <w:szCs w:val="24"/>
        </w:rPr>
        <w:t>T</w:t>
      </w:r>
      <w:r w:rsidR="00CF392C" w:rsidRPr="00CF392C">
        <w:rPr>
          <w:szCs w:val="24"/>
        </w:rPr>
        <w:t>oeta</w:t>
      </w:r>
      <w:r>
        <w:rPr>
          <w:szCs w:val="24"/>
        </w:rPr>
        <w:t>me</w:t>
      </w:r>
      <w:r w:rsidR="00CF392C" w:rsidRPr="00CF392C">
        <w:rPr>
          <w:szCs w:val="24"/>
        </w:rPr>
        <w:t xml:space="preserve"> üldjoontes mõtet täiendada kohtute seadust („KS“) asenduskohtuniku institutsiooniga. Samas oleks selle mõju õigusemõistmise kiiremaks ja paindlikumaks muutmisele ilmselt tagasihoidlik. </w:t>
      </w:r>
    </w:p>
    <w:p w14:paraId="6554C290" w14:textId="77777777" w:rsidR="00CA0090" w:rsidRPr="00CF392C" w:rsidRDefault="00CA0090" w:rsidP="00CF392C">
      <w:pPr>
        <w:jc w:val="both"/>
        <w:rPr>
          <w:szCs w:val="24"/>
        </w:rPr>
      </w:pPr>
    </w:p>
    <w:p w14:paraId="06BA8277" w14:textId="77777777" w:rsidR="00CF392C" w:rsidRPr="00CA0090" w:rsidRDefault="00CF392C" w:rsidP="00CA0090">
      <w:pPr>
        <w:pStyle w:val="ListParagraph"/>
        <w:numPr>
          <w:ilvl w:val="0"/>
          <w:numId w:val="9"/>
        </w:numPr>
        <w:jc w:val="both"/>
        <w:rPr>
          <w:b/>
          <w:bCs/>
          <w:szCs w:val="24"/>
        </w:rPr>
      </w:pPr>
      <w:r w:rsidRPr="00CA0090">
        <w:rPr>
          <w:b/>
          <w:bCs/>
          <w:szCs w:val="24"/>
        </w:rPr>
        <w:t xml:space="preserve">Kohtuniku ametist vabastamine ja lisatasu maksmine </w:t>
      </w:r>
    </w:p>
    <w:p w14:paraId="3C2BBCF0" w14:textId="77777777" w:rsidR="00CF392C" w:rsidRPr="00CF392C" w:rsidRDefault="00CF392C" w:rsidP="00CF392C">
      <w:pPr>
        <w:jc w:val="both"/>
        <w:rPr>
          <w:szCs w:val="24"/>
        </w:rPr>
      </w:pPr>
    </w:p>
    <w:p w14:paraId="05CD3469" w14:textId="6E77FDA7" w:rsidR="00CF392C" w:rsidRDefault="004B6958" w:rsidP="00CF392C">
      <w:pPr>
        <w:jc w:val="both"/>
        <w:rPr>
          <w:szCs w:val="24"/>
        </w:rPr>
      </w:pPr>
      <w:r>
        <w:rPr>
          <w:szCs w:val="24"/>
        </w:rPr>
        <w:t>Toetame</w:t>
      </w:r>
      <w:r w:rsidR="00CF392C" w:rsidRPr="00CF392C">
        <w:rPr>
          <w:szCs w:val="24"/>
        </w:rPr>
        <w:t xml:space="preserve"> mõtet täpsustada tervise tõttu kohtuniku ametist vabastamise regulatsiooni ja näha ette võimalus vabastada kohtunik sobimatuse tõttu ametist ka pärast kolme aasta möödumist ametisse nimetamisest. Küll aga tuleb tagada, et kavandatavad muudatused ei ohustaks kohtunike sõltumatust. </w:t>
      </w:r>
      <w:r>
        <w:rPr>
          <w:szCs w:val="24"/>
        </w:rPr>
        <w:t>Ü</w:t>
      </w:r>
      <w:r w:rsidR="00CF392C" w:rsidRPr="00CF392C">
        <w:rPr>
          <w:szCs w:val="24"/>
        </w:rPr>
        <w:t xml:space="preserve">ldjoontes </w:t>
      </w:r>
      <w:r>
        <w:rPr>
          <w:szCs w:val="24"/>
        </w:rPr>
        <w:t xml:space="preserve">saab toetada </w:t>
      </w:r>
      <w:r w:rsidR="00CF392C" w:rsidRPr="00CF392C">
        <w:rPr>
          <w:szCs w:val="24"/>
        </w:rPr>
        <w:t xml:space="preserve">ka mõtet näha ette võimalus maksta kohtunikele lisatasu. </w:t>
      </w:r>
      <w:r w:rsidR="00D03BB3">
        <w:rPr>
          <w:szCs w:val="24"/>
        </w:rPr>
        <w:t>T</w:t>
      </w:r>
      <w:r w:rsidR="00CF392C" w:rsidRPr="00CF392C">
        <w:rPr>
          <w:szCs w:val="24"/>
        </w:rPr>
        <w:t xml:space="preserve">uleb tagada, et lisatasu maksmise alused oleksid objektiivsed ja läbipaistvad ega avaldaks negatiivset mõju kohtulahendite kvaliteedile. </w:t>
      </w:r>
    </w:p>
    <w:p w14:paraId="5E7FA3BD" w14:textId="77777777" w:rsidR="00CA0090" w:rsidRDefault="00CA0090" w:rsidP="00CA0090">
      <w:pPr>
        <w:jc w:val="both"/>
        <w:rPr>
          <w:szCs w:val="24"/>
        </w:rPr>
      </w:pPr>
    </w:p>
    <w:p w14:paraId="2C605186" w14:textId="39932F05" w:rsidR="00CF392C" w:rsidRPr="00CA0090" w:rsidRDefault="00CF392C" w:rsidP="00CA0090">
      <w:pPr>
        <w:pStyle w:val="ListParagraph"/>
        <w:numPr>
          <w:ilvl w:val="0"/>
          <w:numId w:val="9"/>
        </w:numPr>
        <w:jc w:val="both"/>
        <w:rPr>
          <w:b/>
          <w:bCs/>
          <w:szCs w:val="24"/>
        </w:rPr>
      </w:pPr>
      <w:r w:rsidRPr="00CA0090">
        <w:rPr>
          <w:b/>
          <w:bCs/>
          <w:szCs w:val="24"/>
        </w:rPr>
        <w:t xml:space="preserve">Kohtuniku distsiplinaarvastutuse kehtivus </w:t>
      </w:r>
    </w:p>
    <w:p w14:paraId="0624500F" w14:textId="77777777" w:rsidR="00CF392C" w:rsidRPr="00CF392C" w:rsidRDefault="00CF392C" w:rsidP="00CF392C">
      <w:pPr>
        <w:jc w:val="both"/>
        <w:rPr>
          <w:szCs w:val="24"/>
        </w:rPr>
      </w:pPr>
    </w:p>
    <w:p w14:paraId="3A2002C7" w14:textId="7A5C9946" w:rsidR="00CF392C" w:rsidRDefault="002C7FDA" w:rsidP="00CF392C">
      <w:pPr>
        <w:jc w:val="both"/>
        <w:rPr>
          <w:szCs w:val="24"/>
        </w:rPr>
      </w:pPr>
      <w:r>
        <w:rPr>
          <w:szCs w:val="24"/>
        </w:rPr>
        <w:t>Ettepanek</w:t>
      </w:r>
      <w:r w:rsidR="00CF392C" w:rsidRPr="00CF392C">
        <w:rPr>
          <w:szCs w:val="24"/>
        </w:rPr>
        <w:t xml:space="preserve"> pikendada distsiplinaarkaristuse kustumise tähtaega ühelt aastalt kolmele ja kaotada võimalus seda lühendada</w:t>
      </w:r>
      <w:r>
        <w:rPr>
          <w:szCs w:val="24"/>
        </w:rPr>
        <w:t xml:space="preserve"> </w:t>
      </w:r>
      <w:r w:rsidR="00E017B8">
        <w:rPr>
          <w:szCs w:val="24"/>
        </w:rPr>
        <w:t>on meie hinnangul põhjendatud.</w:t>
      </w:r>
    </w:p>
    <w:p w14:paraId="730FF4A2" w14:textId="77777777" w:rsidR="00CA0090" w:rsidRPr="00CF392C" w:rsidRDefault="00CA0090" w:rsidP="00CF392C">
      <w:pPr>
        <w:jc w:val="both"/>
        <w:rPr>
          <w:szCs w:val="24"/>
        </w:rPr>
      </w:pPr>
    </w:p>
    <w:p w14:paraId="79175006" w14:textId="77777777" w:rsidR="00CF392C" w:rsidRPr="00CA0090" w:rsidRDefault="00CF392C" w:rsidP="00CA0090">
      <w:pPr>
        <w:pStyle w:val="ListParagraph"/>
        <w:numPr>
          <w:ilvl w:val="0"/>
          <w:numId w:val="9"/>
        </w:numPr>
        <w:jc w:val="both"/>
        <w:rPr>
          <w:b/>
          <w:bCs/>
          <w:szCs w:val="24"/>
        </w:rPr>
      </w:pPr>
      <w:r w:rsidRPr="00CA0090">
        <w:rPr>
          <w:b/>
          <w:bCs/>
          <w:szCs w:val="24"/>
        </w:rPr>
        <w:t xml:space="preserve">Kohtunikukandidaadi julgeolekukontroll </w:t>
      </w:r>
    </w:p>
    <w:p w14:paraId="0E65FE2E" w14:textId="77777777" w:rsidR="00CF392C" w:rsidRPr="00CF392C" w:rsidRDefault="00CF392C" w:rsidP="00CF392C">
      <w:pPr>
        <w:jc w:val="both"/>
        <w:rPr>
          <w:szCs w:val="24"/>
        </w:rPr>
      </w:pPr>
    </w:p>
    <w:p w14:paraId="79D4D1E5" w14:textId="3BCE3805" w:rsidR="00CF392C" w:rsidRDefault="00E017B8" w:rsidP="00CF392C">
      <w:pPr>
        <w:jc w:val="both"/>
        <w:rPr>
          <w:szCs w:val="24"/>
        </w:rPr>
      </w:pPr>
      <w:r>
        <w:rPr>
          <w:szCs w:val="24"/>
        </w:rPr>
        <w:t>Ettepanek</w:t>
      </w:r>
      <w:r w:rsidR="00CF392C" w:rsidRPr="00CF392C">
        <w:rPr>
          <w:szCs w:val="24"/>
        </w:rPr>
        <w:t xml:space="preserve"> viia kohtunikukandidaatide julgeolekukontroll läbi pärast seda, kui Riigikohtu üldkogu on otsustanud teha esialgse ettepaneku kandidaat kohtunikuna ametisse nimetada</w:t>
      </w:r>
      <w:r w:rsidR="00961AC5">
        <w:rPr>
          <w:szCs w:val="24"/>
        </w:rPr>
        <w:t>,</w:t>
      </w:r>
      <w:r>
        <w:rPr>
          <w:szCs w:val="24"/>
        </w:rPr>
        <w:t xml:space="preserve"> on </w:t>
      </w:r>
      <w:r w:rsidR="00B248A7">
        <w:rPr>
          <w:szCs w:val="24"/>
        </w:rPr>
        <w:t>praktilisest ja ressurssi kokkuhoidvast vaatest põhjendatud.</w:t>
      </w:r>
    </w:p>
    <w:p w14:paraId="6DFE8D06" w14:textId="77777777" w:rsidR="00CA0090" w:rsidRPr="00CF392C" w:rsidRDefault="00CA0090" w:rsidP="00CF392C">
      <w:pPr>
        <w:jc w:val="both"/>
        <w:rPr>
          <w:szCs w:val="24"/>
        </w:rPr>
      </w:pPr>
    </w:p>
    <w:p w14:paraId="74853E51" w14:textId="77777777" w:rsidR="00CF392C" w:rsidRPr="00CA0090" w:rsidRDefault="00CF392C" w:rsidP="00CA0090">
      <w:pPr>
        <w:pStyle w:val="ListParagraph"/>
        <w:numPr>
          <w:ilvl w:val="0"/>
          <w:numId w:val="9"/>
        </w:numPr>
        <w:jc w:val="both"/>
        <w:rPr>
          <w:b/>
          <w:bCs/>
          <w:szCs w:val="24"/>
        </w:rPr>
      </w:pPr>
      <w:r w:rsidRPr="00CA0090">
        <w:rPr>
          <w:b/>
          <w:bCs/>
          <w:szCs w:val="24"/>
        </w:rPr>
        <w:t xml:space="preserve">Rahvakohtuniku institutsiooni kaotamine </w:t>
      </w:r>
    </w:p>
    <w:p w14:paraId="36B49AA5" w14:textId="77777777" w:rsidR="00CF392C" w:rsidRPr="00CF392C" w:rsidRDefault="00CF392C" w:rsidP="00CF392C">
      <w:pPr>
        <w:jc w:val="both"/>
        <w:rPr>
          <w:szCs w:val="24"/>
        </w:rPr>
      </w:pPr>
    </w:p>
    <w:p w14:paraId="3808BF06" w14:textId="59017394" w:rsidR="00CF392C" w:rsidRDefault="00B248A7" w:rsidP="00CF392C">
      <w:pPr>
        <w:jc w:val="both"/>
        <w:rPr>
          <w:szCs w:val="24"/>
        </w:rPr>
      </w:pPr>
      <w:r>
        <w:rPr>
          <w:szCs w:val="24"/>
        </w:rPr>
        <w:t>On võimalik nõustuda</w:t>
      </w:r>
      <w:r w:rsidR="00CF392C" w:rsidRPr="00CF392C">
        <w:rPr>
          <w:szCs w:val="24"/>
        </w:rPr>
        <w:t xml:space="preserve"> nii sellega, et teoorias peaksid rahvakohtunikud tooma õigusemõistmisse täiendava vaate, kui ka sellega, et praktikas on rahvakohtunike institutsiooni olemasolu tekitanud probleeme. Samas on küsitav, kas VTK-s mainitud probleemide lahendus peaks olema rahvakohtunike institutsiooni kaotamine või võiks see olla esmalt rahvakohtunike institutsiooniga seonduva regulatsiooni ja praktika parendamine. </w:t>
      </w:r>
    </w:p>
    <w:p w14:paraId="1DAA3ED1" w14:textId="77777777" w:rsidR="00CA0090" w:rsidRPr="00CF392C" w:rsidRDefault="00CA0090" w:rsidP="00CF392C">
      <w:pPr>
        <w:jc w:val="both"/>
        <w:rPr>
          <w:szCs w:val="24"/>
        </w:rPr>
      </w:pPr>
    </w:p>
    <w:p w14:paraId="42951515" w14:textId="00AB2C5A" w:rsidR="00CF392C" w:rsidRDefault="00CF392C" w:rsidP="00CF392C">
      <w:pPr>
        <w:jc w:val="both"/>
        <w:rPr>
          <w:szCs w:val="24"/>
        </w:rPr>
      </w:pPr>
      <w:r w:rsidRPr="00CF392C">
        <w:rPr>
          <w:szCs w:val="24"/>
        </w:rPr>
        <w:t xml:space="preserve">Küll aga </w:t>
      </w:r>
      <w:r w:rsidR="003F74EE">
        <w:rPr>
          <w:szCs w:val="24"/>
        </w:rPr>
        <w:t>ei ole</w:t>
      </w:r>
      <w:r w:rsidRPr="00CF392C">
        <w:rPr>
          <w:szCs w:val="24"/>
        </w:rPr>
        <w:t xml:space="preserve"> rahvakohtunike olemasolu vajalik kõigi esimese astme kuritegude puhul. Üks </w:t>
      </w:r>
      <w:r w:rsidRPr="00CF392C">
        <w:rPr>
          <w:szCs w:val="24"/>
        </w:rPr>
        <w:lastRenderedPageBreak/>
        <w:t xml:space="preserve">võimalus on näha ette, et süüdistusakti saanud kohtu esimees (või nt süüteoosakonna juhataja) otsustab, kas asja lahendab kohtukoosseis, kuhu kuulub kohtunik ja kaks rahvakohtunikku, või kohtukoosseis, kuhu kuulub kolm kohtunikku. Teine võimalus on näha ette, et üldjuhul lahendab asju kohtukoosseis, kuhu kuulub kohtunik ja kaks rahvakohtunikku, kuid kohtu esimees võib määrata, et asja lahendab kohtunik ainuisikuliselt või kohtukoosseis, kuhu kuulub kolm kohtunikku. </w:t>
      </w:r>
    </w:p>
    <w:p w14:paraId="3F40207A" w14:textId="77777777" w:rsidR="00CA0090" w:rsidRPr="00CF392C" w:rsidRDefault="00CA0090" w:rsidP="00CF392C">
      <w:pPr>
        <w:jc w:val="both"/>
        <w:rPr>
          <w:szCs w:val="24"/>
        </w:rPr>
      </w:pPr>
    </w:p>
    <w:p w14:paraId="3C82E39F" w14:textId="119AA3D4" w:rsidR="00945EEA" w:rsidRPr="00CF392C" w:rsidRDefault="00CF392C" w:rsidP="00CF392C">
      <w:pPr>
        <w:jc w:val="both"/>
        <w:rPr>
          <w:szCs w:val="24"/>
        </w:rPr>
      </w:pPr>
      <w:r w:rsidRPr="00CF392C">
        <w:rPr>
          <w:szCs w:val="24"/>
        </w:rPr>
        <w:t xml:space="preserve">Samas </w:t>
      </w:r>
      <w:r w:rsidR="003F74EE">
        <w:rPr>
          <w:szCs w:val="24"/>
        </w:rPr>
        <w:t>tõusetub ka küsimus</w:t>
      </w:r>
      <w:r w:rsidRPr="00CF392C">
        <w:rPr>
          <w:szCs w:val="24"/>
        </w:rPr>
        <w:t xml:space="preserve">, kas ja kuidas sobitub rahvakohtunike institutsioon põhiseaduse ja Riigikohtu praktikaga. </w:t>
      </w:r>
      <w:r w:rsidR="00DD6510">
        <w:rPr>
          <w:szCs w:val="24"/>
        </w:rPr>
        <w:t>R</w:t>
      </w:r>
      <w:r w:rsidRPr="00CF392C">
        <w:rPr>
          <w:szCs w:val="24"/>
        </w:rPr>
        <w:t xml:space="preserve">ahvakohtunikel </w:t>
      </w:r>
      <w:r w:rsidR="00DD6510">
        <w:rPr>
          <w:szCs w:val="24"/>
        </w:rPr>
        <w:t xml:space="preserve">on </w:t>
      </w:r>
      <w:r w:rsidRPr="00CF392C">
        <w:rPr>
          <w:szCs w:val="24"/>
        </w:rPr>
        <w:t xml:space="preserve">õigusemõistmisel samad õigused kui kohtunikul (KS § 102 lg 2, </w:t>
      </w:r>
      <w:proofErr w:type="spellStart"/>
      <w:r w:rsidRPr="00CF392C">
        <w:rPr>
          <w:szCs w:val="24"/>
        </w:rPr>
        <w:t>KrMS</w:t>
      </w:r>
      <w:proofErr w:type="spellEnd"/>
      <w:r w:rsidRPr="00CF392C">
        <w:rPr>
          <w:szCs w:val="24"/>
        </w:rPr>
        <w:t xml:space="preserve"> § 18 lg 1)</w:t>
      </w:r>
      <w:r w:rsidR="00DD6510">
        <w:rPr>
          <w:szCs w:val="24"/>
        </w:rPr>
        <w:t xml:space="preserve"> ning m</w:t>
      </w:r>
      <w:r w:rsidRPr="00CF392C">
        <w:rPr>
          <w:szCs w:val="24"/>
        </w:rPr>
        <w:t>uuhulgas on rahvakohtunikel võimalik otsustada häälteenamusega kriminaalasja puudutavad küsimused (</w:t>
      </w:r>
      <w:proofErr w:type="spellStart"/>
      <w:r w:rsidRPr="00CF392C">
        <w:rPr>
          <w:szCs w:val="24"/>
        </w:rPr>
        <w:t>KrMS</w:t>
      </w:r>
      <w:proofErr w:type="spellEnd"/>
      <w:r w:rsidRPr="00CF392C">
        <w:rPr>
          <w:szCs w:val="24"/>
        </w:rPr>
        <w:t xml:space="preserve"> § 23). Teiselt poolt ei tunne põhiseadus rahvakohtuniku institutsiooni ja Riigikohtu üldkogu järjepideva praktika järgi saab kohtus PS § 146 esimese lause mõttes õigust mõista üksnes kohtunik PS §-de 147, 150 ja 153 tähenduses (3-4-1-29-13, p 44.6; 3-2-1-153-13, p 57; 2-17-10423/20, p 33).</w:t>
      </w:r>
    </w:p>
    <w:p w14:paraId="6A1E3E03" w14:textId="77777777" w:rsidR="00945EEA" w:rsidRPr="00CF392C" w:rsidRDefault="00945EEA" w:rsidP="00CF392C">
      <w:pPr>
        <w:jc w:val="both"/>
        <w:rPr>
          <w:szCs w:val="24"/>
        </w:rPr>
      </w:pPr>
    </w:p>
    <w:p w14:paraId="53809BB7" w14:textId="77777777" w:rsidR="00945EEA" w:rsidRDefault="00945EEA" w:rsidP="00CF392C">
      <w:pPr>
        <w:jc w:val="both"/>
        <w:rPr>
          <w:szCs w:val="24"/>
        </w:rPr>
      </w:pPr>
    </w:p>
    <w:p w14:paraId="0D62A427" w14:textId="77777777" w:rsidR="00B01460" w:rsidRPr="00CF392C" w:rsidRDefault="00B01460" w:rsidP="00CF392C">
      <w:pPr>
        <w:jc w:val="both"/>
        <w:rPr>
          <w:szCs w:val="24"/>
        </w:rPr>
      </w:pPr>
    </w:p>
    <w:p w14:paraId="380F2895" w14:textId="77777777" w:rsidR="0019780D" w:rsidRPr="00CF392C" w:rsidRDefault="0019780D" w:rsidP="00CF392C">
      <w:pPr>
        <w:jc w:val="both"/>
        <w:rPr>
          <w:szCs w:val="24"/>
        </w:rPr>
      </w:pPr>
    </w:p>
    <w:p w14:paraId="3894BA9D" w14:textId="77777777" w:rsidR="0019780D" w:rsidRPr="00CF392C" w:rsidRDefault="0019780D" w:rsidP="00CF392C">
      <w:pPr>
        <w:jc w:val="both"/>
        <w:rPr>
          <w:b/>
          <w:bCs/>
          <w:szCs w:val="24"/>
        </w:rPr>
      </w:pPr>
      <w:r w:rsidRPr="00CF392C">
        <w:rPr>
          <w:szCs w:val="24"/>
        </w:rPr>
        <w:t>Lugupidamisega</w:t>
      </w:r>
    </w:p>
    <w:p w14:paraId="3CC7F4BF" w14:textId="77777777" w:rsidR="0019780D" w:rsidRPr="00CF392C" w:rsidRDefault="0019780D" w:rsidP="00CF392C">
      <w:pPr>
        <w:pStyle w:val="Body"/>
        <w:jc w:val="both"/>
        <w:rPr>
          <w:rFonts w:cs="Times New Roman"/>
          <w:i/>
          <w:iCs/>
        </w:rPr>
      </w:pPr>
    </w:p>
    <w:p w14:paraId="5E0529D0" w14:textId="77777777" w:rsidR="0019780D" w:rsidRPr="00CF392C" w:rsidRDefault="0019780D" w:rsidP="00CF392C">
      <w:pPr>
        <w:pStyle w:val="Body"/>
        <w:jc w:val="both"/>
        <w:rPr>
          <w:rFonts w:cs="Times New Roman"/>
          <w:i/>
          <w:iCs/>
        </w:rPr>
      </w:pPr>
      <w:r w:rsidRPr="00CF392C">
        <w:rPr>
          <w:rFonts w:cs="Times New Roman"/>
          <w:i/>
          <w:iCs/>
        </w:rPr>
        <w:t>allkirjastatud digitaalselt</w:t>
      </w:r>
    </w:p>
    <w:p w14:paraId="0721F605" w14:textId="77777777" w:rsidR="0019780D" w:rsidRPr="00CF392C" w:rsidRDefault="0019780D" w:rsidP="00CF392C">
      <w:pPr>
        <w:pStyle w:val="Body"/>
        <w:jc w:val="both"/>
        <w:rPr>
          <w:rFonts w:cs="Times New Roman"/>
        </w:rPr>
      </w:pPr>
    </w:p>
    <w:p w14:paraId="3CE7CF0B" w14:textId="77777777" w:rsidR="0019780D" w:rsidRPr="00CF392C" w:rsidRDefault="0019780D" w:rsidP="00CF392C">
      <w:pPr>
        <w:pStyle w:val="Body"/>
        <w:jc w:val="both"/>
        <w:rPr>
          <w:rFonts w:cs="Times New Roman"/>
        </w:rPr>
      </w:pPr>
      <w:r w:rsidRPr="00CF392C">
        <w:rPr>
          <w:rFonts w:cs="Times New Roman"/>
        </w:rPr>
        <w:t>Imbi Jürgen</w:t>
      </w:r>
    </w:p>
    <w:p w14:paraId="23FEBFCD" w14:textId="77777777" w:rsidR="0019780D" w:rsidRPr="00CF392C" w:rsidRDefault="0019780D" w:rsidP="00CF392C">
      <w:pPr>
        <w:pStyle w:val="Body"/>
        <w:jc w:val="both"/>
        <w:rPr>
          <w:rFonts w:cs="Times New Roman"/>
        </w:rPr>
      </w:pPr>
      <w:r w:rsidRPr="00CF392C">
        <w:rPr>
          <w:rFonts w:cs="Times New Roman"/>
        </w:rPr>
        <w:t>Esimees</w:t>
      </w:r>
    </w:p>
    <w:p w14:paraId="0A20B27E" w14:textId="77777777" w:rsidR="0060121B" w:rsidRPr="00CF392C" w:rsidRDefault="0060121B" w:rsidP="00CF392C">
      <w:pPr>
        <w:pStyle w:val="Body"/>
        <w:jc w:val="both"/>
        <w:rPr>
          <w:rFonts w:cs="Times New Roman"/>
        </w:rPr>
      </w:pPr>
    </w:p>
    <w:p w14:paraId="0AF149DB" w14:textId="77777777" w:rsidR="0060121B" w:rsidRPr="00CF392C" w:rsidRDefault="0060121B" w:rsidP="00CF392C">
      <w:pPr>
        <w:pStyle w:val="Body"/>
        <w:jc w:val="both"/>
        <w:rPr>
          <w:rFonts w:cs="Times New Roman"/>
        </w:rPr>
      </w:pPr>
    </w:p>
    <w:p w14:paraId="6F397B18" w14:textId="77777777" w:rsidR="0060121B" w:rsidRPr="00CF392C" w:rsidRDefault="0060121B" w:rsidP="00CF392C">
      <w:pPr>
        <w:pStyle w:val="Body"/>
        <w:jc w:val="both"/>
        <w:rPr>
          <w:rFonts w:cs="Times New Roman"/>
        </w:rPr>
      </w:pPr>
    </w:p>
    <w:p w14:paraId="7F10D70A" w14:textId="77777777" w:rsidR="0019780D" w:rsidRPr="00CF392C" w:rsidRDefault="0019780D" w:rsidP="00CF392C">
      <w:pPr>
        <w:pStyle w:val="Body"/>
        <w:jc w:val="both"/>
        <w:rPr>
          <w:rFonts w:cs="Times New Roman"/>
        </w:rPr>
      </w:pPr>
    </w:p>
    <w:p w14:paraId="441683FB" w14:textId="77777777" w:rsidR="0019780D" w:rsidRPr="00CF392C" w:rsidRDefault="0019780D" w:rsidP="00CF392C">
      <w:pPr>
        <w:pStyle w:val="Body"/>
        <w:jc w:val="both"/>
        <w:rPr>
          <w:rFonts w:cs="Times New Roman"/>
        </w:rPr>
      </w:pPr>
      <w:r w:rsidRPr="00CF392C">
        <w:rPr>
          <w:rFonts w:cs="Times New Roman"/>
        </w:rPr>
        <w:t>Merit Aavekukk-Tamm 6979 253</w:t>
      </w:r>
    </w:p>
    <w:p w14:paraId="2ED21D02" w14:textId="77777777" w:rsidR="0019780D" w:rsidRPr="00CF392C" w:rsidRDefault="0019780D" w:rsidP="00CF392C">
      <w:pPr>
        <w:pStyle w:val="Body"/>
        <w:jc w:val="both"/>
        <w:rPr>
          <w:rFonts w:cs="Times New Roman"/>
        </w:rPr>
      </w:pPr>
      <w:r w:rsidRPr="00CF392C">
        <w:rPr>
          <w:rFonts w:cs="Times New Roman"/>
        </w:rPr>
        <w:t>merit.aavekukk-tamm@advokatuur.ee</w:t>
      </w:r>
    </w:p>
    <w:p w14:paraId="09DF826D" w14:textId="77777777" w:rsidR="007C1294" w:rsidRPr="00CF392C" w:rsidRDefault="007C1294" w:rsidP="00CF392C">
      <w:pPr>
        <w:widowControl/>
        <w:suppressAutoHyphens w:val="0"/>
        <w:spacing w:after="200"/>
        <w:jc w:val="both"/>
        <w:rPr>
          <w:szCs w:val="24"/>
        </w:rPr>
      </w:pPr>
    </w:p>
    <w:sectPr w:rsidR="007C1294" w:rsidRPr="00CF392C" w:rsidSect="009750DC">
      <w:footerReference w:type="default" r:id="rId8"/>
      <w:headerReference w:type="first" r:id="rId9"/>
      <w:footerReference w:type="first" r:id="rId10"/>
      <w:pgSz w:w="11906" w:h="16838"/>
      <w:pgMar w:top="1417" w:right="1417" w:bottom="1417" w:left="1417" w:header="709"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E8AAB" w14:textId="77777777" w:rsidR="0056018A" w:rsidRDefault="0056018A" w:rsidP="00F636B5">
      <w:r>
        <w:separator/>
      </w:r>
    </w:p>
  </w:endnote>
  <w:endnote w:type="continuationSeparator" w:id="0">
    <w:p w14:paraId="4A120854" w14:textId="77777777" w:rsidR="0056018A" w:rsidRDefault="0056018A" w:rsidP="00F6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G Mincho Light J">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412264"/>
      <w:docPartObj>
        <w:docPartGallery w:val="Page Numbers (Bottom of Page)"/>
        <w:docPartUnique/>
      </w:docPartObj>
    </w:sdtPr>
    <w:sdtEndPr/>
    <w:sdtContent>
      <w:p w14:paraId="38ED816D" w14:textId="36332E45" w:rsidR="007C5836" w:rsidRDefault="007C5836">
        <w:pPr>
          <w:pStyle w:val="Footer"/>
          <w:jc w:val="right"/>
        </w:pPr>
        <w:r>
          <w:fldChar w:fldCharType="begin"/>
        </w:r>
        <w:r>
          <w:instrText>PAGE   \* MERGEFORMAT</w:instrText>
        </w:r>
        <w:r>
          <w:fldChar w:fldCharType="separate"/>
        </w:r>
        <w:r>
          <w:t>2</w:t>
        </w:r>
        <w:r>
          <w:fldChar w:fldCharType="end"/>
        </w:r>
      </w:p>
    </w:sdtContent>
  </w:sdt>
  <w:p w14:paraId="0AD8C440" w14:textId="77777777" w:rsidR="007C5836" w:rsidRDefault="007C5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7D896" w14:textId="03AE6269" w:rsidR="005A7619" w:rsidRPr="008A5914" w:rsidRDefault="005A7619" w:rsidP="005A7619">
    <w:pPr>
      <w:pStyle w:val="Footer"/>
      <w:pBdr>
        <w:top w:val="single" w:sz="1" w:space="1" w:color="000000"/>
      </w:pBdr>
      <w:tabs>
        <w:tab w:val="clear" w:pos="4536"/>
        <w:tab w:val="left" w:pos="2268"/>
        <w:tab w:val="left" w:pos="6521"/>
      </w:tabs>
      <w:rPr>
        <w:rFonts w:ascii="Times New Roman" w:hAnsi="Times New Roman" w:cs="Times New Roman"/>
        <w:sz w:val="24"/>
        <w:szCs w:val="24"/>
      </w:rPr>
    </w:pPr>
    <w:r>
      <w:rPr>
        <w:rFonts w:ascii="Times New Roman" w:hAnsi="Times New Roman" w:cs="Times New Roman"/>
        <w:sz w:val="24"/>
        <w:szCs w:val="24"/>
      </w:rPr>
      <w:t>Kentmanni 4</w:t>
    </w:r>
    <w:r>
      <w:rPr>
        <w:rFonts w:ascii="Times New Roman" w:hAnsi="Times New Roman" w:cs="Times New Roman"/>
        <w:sz w:val="24"/>
        <w:szCs w:val="24"/>
      </w:rPr>
      <w:tab/>
    </w:r>
    <w:r w:rsidR="00592D13" w:rsidRPr="00592D13">
      <w:rPr>
        <w:rFonts w:ascii="Times New Roman" w:hAnsi="Times New Roman" w:cs="Times New Roman"/>
        <w:sz w:val="24"/>
        <w:szCs w:val="24"/>
      </w:rPr>
      <w:t>Tel 662 0665</w:t>
    </w:r>
    <w:r>
      <w:rPr>
        <w:rFonts w:ascii="Times New Roman" w:hAnsi="Times New Roman" w:cs="Times New Roman"/>
        <w:sz w:val="24"/>
        <w:szCs w:val="24"/>
      </w:rPr>
      <w:tab/>
    </w:r>
    <w:r w:rsidRPr="008A5914">
      <w:rPr>
        <w:rFonts w:ascii="Times New Roman" w:hAnsi="Times New Roman" w:cs="Times New Roman"/>
        <w:sz w:val="24"/>
        <w:szCs w:val="24"/>
      </w:rPr>
      <w:t xml:space="preserve">Arvelduskonto </w:t>
    </w:r>
  </w:p>
  <w:p w14:paraId="322CB34E" w14:textId="77777777" w:rsidR="005A7619" w:rsidRPr="008A5914" w:rsidRDefault="005A7619" w:rsidP="005A7619">
    <w:pPr>
      <w:pStyle w:val="Footer"/>
      <w:pBdr>
        <w:top w:val="single" w:sz="1" w:space="1" w:color="000000"/>
      </w:pBdr>
      <w:tabs>
        <w:tab w:val="left" w:pos="2268"/>
        <w:tab w:val="left" w:pos="6521"/>
      </w:tabs>
      <w:rPr>
        <w:rFonts w:ascii="Times New Roman" w:hAnsi="Times New Roman" w:cs="Times New Roman"/>
        <w:sz w:val="24"/>
        <w:szCs w:val="24"/>
      </w:rPr>
    </w:pPr>
    <w:r w:rsidRPr="008A5914">
      <w:rPr>
        <w:rFonts w:ascii="Times New Roman" w:hAnsi="Times New Roman" w:cs="Times New Roman"/>
        <w:sz w:val="24"/>
        <w:szCs w:val="24"/>
      </w:rPr>
      <w:t>101</w:t>
    </w:r>
    <w:r>
      <w:rPr>
        <w:rFonts w:ascii="Times New Roman" w:hAnsi="Times New Roman" w:cs="Times New Roman"/>
        <w:sz w:val="24"/>
        <w:szCs w:val="24"/>
      </w:rPr>
      <w:t>16</w:t>
    </w:r>
    <w:r w:rsidRPr="008A5914">
      <w:rPr>
        <w:rFonts w:ascii="Times New Roman" w:hAnsi="Times New Roman" w:cs="Times New Roman"/>
        <w:sz w:val="24"/>
        <w:szCs w:val="24"/>
      </w:rPr>
      <w:t xml:space="preserve"> TALLINN</w:t>
    </w:r>
    <w:r>
      <w:rPr>
        <w:rFonts w:ascii="Times New Roman" w:hAnsi="Times New Roman" w:cs="Times New Roman"/>
        <w:sz w:val="24"/>
        <w:szCs w:val="24"/>
      </w:rPr>
      <w:tab/>
    </w:r>
    <w:r w:rsidRPr="008A5914">
      <w:rPr>
        <w:rFonts w:ascii="Times New Roman" w:hAnsi="Times New Roman" w:cs="Times New Roman"/>
        <w:sz w:val="24"/>
        <w:szCs w:val="24"/>
      </w:rPr>
      <w:t>E-post:</w:t>
    </w:r>
    <w:r>
      <w:rPr>
        <w:rFonts w:ascii="Times New Roman" w:hAnsi="Times New Roman" w:cs="Times New Roman"/>
        <w:sz w:val="24"/>
        <w:szCs w:val="24"/>
      </w:rPr>
      <w:t xml:space="preserve"> </w:t>
    </w:r>
    <w:hyperlink r:id="rId1" w:history="1">
      <w:r w:rsidRPr="00203BF5">
        <w:rPr>
          <w:rStyle w:val="Hyperlink"/>
          <w:rFonts w:ascii="Times New Roman" w:hAnsi="Times New Roman" w:cs="Times New Roman"/>
          <w:sz w:val="24"/>
          <w:szCs w:val="24"/>
        </w:rPr>
        <w:t>advokatuur@advokatuur.ee</w:t>
      </w:r>
    </w:hyperlink>
    <w:r w:rsidRPr="008A5914">
      <w:rPr>
        <w:rFonts w:ascii="Times New Roman" w:hAnsi="Times New Roman" w:cs="Times New Roman"/>
        <w:sz w:val="24"/>
        <w:szCs w:val="24"/>
      </w:rPr>
      <w:t xml:space="preserve"> </w:t>
    </w:r>
    <w:r>
      <w:rPr>
        <w:rFonts w:ascii="Times New Roman" w:hAnsi="Times New Roman" w:cs="Times New Roman"/>
        <w:sz w:val="24"/>
        <w:szCs w:val="24"/>
      </w:rPr>
      <w:tab/>
    </w:r>
    <w:r w:rsidRPr="00435FCE">
      <w:rPr>
        <w:rFonts w:ascii="Times New Roman" w:hAnsi="Times New Roman" w:cs="Times New Roman"/>
        <w:sz w:val="24"/>
        <w:szCs w:val="24"/>
      </w:rPr>
      <w:t>EE167700771009219435</w:t>
    </w:r>
  </w:p>
  <w:p w14:paraId="77E795BE" w14:textId="77777777" w:rsidR="005A7619" w:rsidRDefault="005A7619" w:rsidP="005A7619">
    <w:pPr>
      <w:pStyle w:val="Footer"/>
      <w:tabs>
        <w:tab w:val="clear" w:pos="4536"/>
        <w:tab w:val="left" w:pos="2268"/>
        <w:tab w:val="left" w:pos="6521"/>
      </w:tabs>
    </w:pPr>
    <w:proofErr w:type="spellStart"/>
    <w:r w:rsidRPr="008A5914">
      <w:rPr>
        <w:rFonts w:ascii="Times New Roman" w:hAnsi="Times New Roman" w:cs="Times New Roman"/>
        <w:sz w:val="24"/>
        <w:szCs w:val="24"/>
      </w:rPr>
      <w:t>Reg</w:t>
    </w:r>
    <w:proofErr w:type="spellEnd"/>
    <w:r w:rsidRPr="008A5914">
      <w:rPr>
        <w:rFonts w:ascii="Times New Roman" w:hAnsi="Times New Roman" w:cs="Times New Roman"/>
        <w:sz w:val="24"/>
        <w:szCs w:val="24"/>
      </w:rPr>
      <w:t xml:space="preserve"> kood </w:t>
    </w:r>
    <w:r w:rsidRPr="008A5914">
      <w:rPr>
        <w:rFonts w:ascii="Times New Roman" w:hAnsi="Times New Roman" w:cs="Times New Roman"/>
        <w:sz w:val="24"/>
        <w:szCs w:val="28"/>
      </w:rPr>
      <w:t>74000027</w:t>
    </w:r>
    <w:r>
      <w:rPr>
        <w:rFonts w:ascii="Times New Roman" w:hAnsi="Times New Roman" w:cs="Times New Roman"/>
        <w:sz w:val="24"/>
        <w:szCs w:val="28"/>
      </w:rPr>
      <w:tab/>
    </w:r>
    <w:r>
      <w:rPr>
        <w:rFonts w:ascii="Times New Roman" w:hAnsi="Times New Roman" w:cs="Times New Roman"/>
        <w:sz w:val="24"/>
        <w:szCs w:val="28"/>
      </w:rPr>
      <w:tab/>
    </w:r>
    <w:r w:rsidRPr="00435FCE">
      <w:rPr>
        <w:rFonts w:ascii="Times New Roman" w:hAnsi="Times New Roman" w:cs="Times New Roman"/>
        <w:sz w:val="24"/>
        <w:szCs w:val="24"/>
      </w:rPr>
      <w:t>AS LHV Pank</w:t>
    </w:r>
  </w:p>
  <w:p w14:paraId="2C16063A" w14:textId="6642EDC0" w:rsidR="008A5914" w:rsidRPr="005A7619" w:rsidRDefault="008A5914" w:rsidP="005A7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E0820" w14:textId="77777777" w:rsidR="0056018A" w:rsidRDefault="0056018A" w:rsidP="00F636B5">
      <w:r>
        <w:separator/>
      </w:r>
    </w:p>
  </w:footnote>
  <w:footnote w:type="continuationSeparator" w:id="0">
    <w:p w14:paraId="3D6B0D82" w14:textId="77777777" w:rsidR="0056018A" w:rsidRDefault="0056018A" w:rsidP="00F636B5">
      <w:r>
        <w:continuationSeparator/>
      </w:r>
    </w:p>
  </w:footnote>
  <w:footnote w:id="1">
    <w:p w14:paraId="18D633AA" w14:textId="7772A960" w:rsidR="005A3081" w:rsidRDefault="005A3081" w:rsidP="003571DF">
      <w:pPr>
        <w:pStyle w:val="FootnoteText"/>
        <w:jc w:val="both"/>
      </w:pPr>
      <w:r>
        <w:rPr>
          <w:rStyle w:val="FootnoteReference"/>
        </w:rPr>
        <w:footnoteRef/>
      </w:r>
      <w:r>
        <w:t xml:space="preserve"> </w:t>
      </w:r>
      <w:r w:rsidR="00157553">
        <w:t xml:space="preserve">Siin ja järgnevate viidete puhul kohtute seisukohtadele: Kohtujuhtide </w:t>
      </w:r>
      <w:r w:rsidR="009173C9">
        <w:t xml:space="preserve">25.04.2025 </w:t>
      </w:r>
      <w:r w:rsidR="00157553">
        <w:t xml:space="preserve">pöördumine </w:t>
      </w:r>
      <w:r w:rsidR="009173C9">
        <w:t xml:space="preserve">koalitsioonilepingus kohtuid puudutavast kavatsusest (ühe kohtu mudel) loobumiseks ning </w:t>
      </w:r>
      <w:r w:rsidR="009F625B">
        <w:t xml:space="preserve">Tartu Ringkonnakohtu </w:t>
      </w:r>
      <w:r w:rsidR="003571DF">
        <w:t xml:space="preserve">25.04.2025 </w:t>
      </w:r>
      <w:r w:rsidR="009F625B">
        <w:t>kohtunike seisukoht ühe ringkonnakohtu loomise kavatsuse kohta Vabariigi Valitsuse koalitsioonilepingus</w:t>
      </w:r>
      <w:r w:rsidR="003571D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F6869" w14:textId="77777777" w:rsidR="00612C7D" w:rsidRDefault="00612C7D" w:rsidP="00612C7D">
    <w:pPr>
      <w:pStyle w:val="Header"/>
      <w:jc w:val="center"/>
      <w:rPr>
        <w:sz w:val="36"/>
      </w:rPr>
    </w:pPr>
    <w:r>
      <w:rPr>
        <w:noProof/>
        <w:position w:val="-35"/>
        <w:sz w:val="20"/>
        <w:lang w:eastAsia="et-EE"/>
      </w:rPr>
      <w:drawing>
        <wp:inline distT="0" distB="0" distL="0" distR="0" wp14:anchorId="4B9732D5" wp14:editId="0285E974">
          <wp:extent cx="933450" cy="742950"/>
          <wp:effectExtent l="0" t="0" r="0" b="0"/>
          <wp:docPr id="3" name="Picture 3" descr="A picture containing lamp, design, black and white,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amp, design, black and white, illustr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42950"/>
                  </a:xfrm>
                  <a:prstGeom prst="rect">
                    <a:avLst/>
                  </a:prstGeom>
                  <a:noFill/>
                  <a:ln>
                    <a:noFill/>
                  </a:ln>
                </pic:spPr>
              </pic:pic>
            </a:graphicData>
          </a:graphic>
        </wp:inline>
      </w:drawing>
    </w:r>
  </w:p>
  <w:p w14:paraId="563566D3" w14:textId="77777777" w:rsidR="00612C7D" w:rsidRPr="00F636B5" w:rsidRDefault="00612C7D" w:rsidP="00612C7D">
    <w:pPr>
      <w:pBdr>
        <w:bottom w:val="single" w:sz="1" w:space="1" w:color="000000"/>
      </w:pBdr>
      <w:jc w:val="center"/>
      <w:rPr>
        <w:sz w:val="36"/>
        <w:szCs w:val="36"/>
      </w:rPr>
    </w:pPr>
    <w:r w:rsidRPr="00F636B5">
      <w:rPr>
        <w:sz w:val="36"/>
        <w:szCs w:val="36"/>
      </w:rPr>
      <w:t>EESTI ADVOKATUUR</w:t>
    </w:r>
  </w:p>
  <w:p w14:paraId="59B68EF5" w14:textId="77777777" w:rsidR="00612C7D" w:rsidRPr="00F636B5" w:rsidRDefault="00612C7D" w:rsidP="00612C7D">
    <w:pPr>
      <w:jc w:val="center"/>
      <w:rPr>
        <w:sz w:val="25"/>
        <w:szCs w:val="25"/>
      </w:rPr>
    </w:pPr>
    <w:r w:rsidRPr="00F636B5">
      <w:rPr>
        <w:sz w:val="25"/>
        <w:szCs w:val="25"/>
      </w:rPr>
      <w:t>ESTONIAN BAR ASSOCIATION</w:t>
    </w:r>
  </w:p>
  <w:p w14:paraId="573D6274" w14:textId="06991FA3" w:rsidR="00E3299C" w:rsidRPr="00612C7D" w:rsidRDefault="00E3299C" w:rsidP="00612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0838F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EF3C7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14410C"/>
    <w:multiLevelType w:val="hybridMultilevel"/>
    <w:tmpl w:val="2F727F5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A5DC6A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EA5BEA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EFF09E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E737B5"/>
    <w:multiLevelType w:val="hybridMultilevel"/>
    <w:tmpl w:val="EF341C90"/>
    <w:lvl w:ilvl="0" w:tplc="35A2E6E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3402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45F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82647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EEAFB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129E6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E837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8501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50393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B97220"/>
    <w:multiLevelType w:val="hybridMultilevel"/>
    <w:tmpl w:val="EAF8F2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3385CEE"/>
    <w:multiLevelType w:val="hybridMultilevel"/>
    <w:tmpl w:val="33B041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BBC58E4"/>
    <w:multiLevelType w:val="hybridMultilevel"/>
    <w:tmpl w:val="C74416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6811178"/>
    <w:multiLevelType w:val="hybridMultilevel"/>
    <w:tmpl w:val="D88E7050"/>
    <w:lvl w:ilvl="0" w:tplc="3D623D96">
      <w:start w:val="1"/>
      <w:numFmt w:val="decimal"/>
      <w:lvlText w:val="%1."/>
      <w:lvlJc w:val="left"/>
      <w:pPr>
        <w:ind w:left="10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10C7E54">
      <w:start w:val="1"/>
      <w:numFmt w:val="lowerLetter"/>
      <w:lvlText w:val="%2"/>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A3A5176">
      <w:start w:val="1"/>
      <w:numFmt w:val="lowerRoman"/>
      <w:lvlText w:val="%3"/>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1DE0C5C">
      <w:start w:val="1"/>
      <w:numFmt w:val="decimal"/>
      <w:lvlText w:val="%4"/>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9348DD98">
      <w:start w:val="1"/>
      <w:numFmt w:val="lowerLetter"/>
      <w:lvlText w:val="%5"/>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BB180776">
      <w:start w:val="1"/>
      <w:numFmt w:val="lowerRoman"/>
      <w:lvlText w:val="%6"/>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837E0A4E">
      <w:start w:val="1"/>
      <w:numFmt w:val="decimal"/>
      <w:lvlText w:val="%7"/>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562534C">
      <w:start w:val="1"/>
      <w:numFmt w:val="lowerLetter"/>
      <w:lvlText w:val="%8"/>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EA2C5806">
      <w:start w:val="1"/>
      <w:numFmt w:val="lowerRoman"/>
      <w:lvlText w:val="%9"/>
      <w:lvlJc w:val="left"/>
      <w:pPr>
        <w:ind w:left="68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5F3078DC"/>
    <w:multiLevelType w:val="hybridMultilevel"/>
    <w:tmpl w:val="AFC6C78C"/>
    <w:lvl w:ilvl="0" w:tplc="E670ED1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9A341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7665C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1E17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90A8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C6C11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CCFB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8282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186BB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590181C"/>
    <w:multiLevelType w:val="hybridMultilevel"/>
    <w:tmpl w:val="5E7AD7B0"/>
    <w:lvl w:ilvl="0" w:tplc="1CBE07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EE4E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8ACB3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404E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B04CC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48BB0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EC5A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92446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1ABD1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D92527D"/>
    <w:multiLevelType w:val="hybridMultilevel"/>
    <w:tmpl w:val="B6822D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4CC14B0"/>
    <w:multiLevelType w:val="hybridMultilevel"/>
    <w:tmpl w:val="C9F2CB8C"/>
    <w:lvl w:ilvl="0" w:tplc="4DA4E1C4">
      <w:start w:val="1"/>
      <w:numFmt w:val="decimal"/>
      <w:lvlText w:val="%1."/>
      <w:lvlJc w:val="left"/>
      <w:pPr>
        <w:ind w:left="1075"/>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D1256CA">
      <w:start w:val="1"/>
      <w:numFmt w:val="lowerLetter"/>
      <w:lvlText w:val="%2"/>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9432E6">
      <w:start w:val="1"/>
      <w:numFmt w:val="lowerRoman"/>
      <w:lvlText w:val="%3"/>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260E4B94">
      <w:start w:val="1"/>
      <w:numFmt w:val="decimal"/>
      <w:lvlText w:val="%4"/>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F667DEA">
      <w:start w:val="1"/>
      <w:numFmt w:val="lowerLetter"/>
      <w:lvlText w:val="%5"/>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DEEA4306">
      <w:start w:val="1"/>
      <w:numFmt w:val="lowerRoman"/>
      <w:lvlText w:val="%6"/>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AC384B28">
      <w:start w:val="1"/>
      <w:numFmt w:val="decimal"/>
      <w:lvlText w:val="%7"/>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042CE12">
      <w:start w:val="1"/>
      <w:numFmt w:val="lowerLetter"/>
      <w:lvlText w:val="%8"/>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0780BE6">
      <w:start w:val="1"/>
      <w:numFmt w:val="lowerRoman"/>
      <w:lvlText w:val="%9"/>
      <w:lvlJc w:val="left"/>
      <w:pPr>
        <w:ind w:left="68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16cid:durableId="1803768504">
    <w:abstractNumId w:val="8"/>
  </w:num>
  <w:num w:numId="2" w16cid:durableId="1646662979">
    <w:abstractNumId w:val="6"/>
  </w:num>
  <w:num w:numId="3" w16cid:durableId="670370934">
    <w:abstractNumId w:val="10"/>
  </w:num>
  <w:num w:numId="4" w16cid:durableId="268205002">
    <w:abstractNumId w:val="14"/>
  </w:num>
  <w:num w:numId="5" w16cid:durableId="110756145">
    <w:abstractNumId w:val="12"/>
  </w:num>
  <w:num w:numId="6" w16cid:durableId="1722634604">
    <w:abstractNumId w:val="11"/>
  </w:num>
  <w:num w:numId="7" w16cid:durableId="1745568620">
    <w:abstractNumId w:val="13"/>
  </w:num>
  <w:num w:numId="8" w16cid:durableId="771054327">
    <w:abstractNumId w:val="7"/>
  </w:num>
  <w:num w:numId="9" w16cid:durableId="1872759664">
    <w:abstractNumId w:val="2"/>
  </w:num>
  <w:num w:numId="10" w16cid:durableId="1765034429">
    <w:abstractNumId w:val="3"/>
  </w:num>
  <w:num w:numId="11" w16cid:durableId="591282471">
    <w:abstractNumId w:val="1"/>
  </w:num>
  <w:num w:numId="12" w16cid:durableId="884296191">
    <w:abstractNumId w:val="5"/>
  </w:num>
  <w:num w:numId="13" w16cid:durableId="1870948225">
    <w:abstractNumId w:val="4"/>
  </w:num>
  <w:num w:numId="14" w16cid:durableId="156192076">
    <w:abstractNumId w:val="0"/>
  </w:num>
  <w:num w:numId="15" w16cid:durableId="14106144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B5"/>
    <w:rsid w:val="00017824"/>
    <w:rsid w:val="00023C71"/>
    <w:rsid w:val="00030C84"/>
    <w:rsid w:val="000359CD"/>
    <w:rsid w:val="00044487"/>
    <w:rsid w:val="00055AD5"/>
    <w:rsid w:val="00055BB1"/>
    <w:rsid w:val="00095AD0"/>
    <w:rsid w:val="000C0A09"/>
    <w:rsid w:val="000C43DB"/>
    <w:rsid w:val="000D6865"/>
    <w:rsid w:val="00117B0A"/>
    <w:rsid w:val="00130A2F"/>
    <w:rsid w:val="00151F19"/>
    <w:rsid w:val="001532C7"/>
    <w:rsid w:val="00157553"/>
    <w:rsid w:val="00181B2F"/>
    <w:rsid w:val="0019780D"/>
    <w:rsid w:val="001B0802"/>
    <w:rsid w:val="001C5387"/>
    <w:rsid w:val="001D024A"/>
    <w:rsid w:val="001D1053"/>
    <w:rsid w:val="002165B6"/>
    <w:rsid w:val="0023555C"/>
    <w:rsid w:val="00240D3C"/>
    <w:rsid w:val="0024366C"/>
    <w:rsid w:val="0025512D"/>
    <w:rsid w:val="002845FB"/>
    <w:rsid w:val="00287682"/>
    <w:rsid w:val="002A190D"/>
    <w:rsid w:val="002C2B55"/>
    <w:rsid w:val="002C7008"/>
    <w:rsid w:val="002C7FDA"/>
    <w:rsid w:val="002D3C37"/>
    <w:rsid w:val="00315D7C"/>
    <w:rsid w:val="00316F56"/>
    <w:rsid w:val="00353D2A"/>
    <w:rsid w:val="003571DF"/>
    <w:rsid w:val="003650B8"/>
    <w:rsid w:val="00391662"/>
    <w:rsid w:val="003A79EC"/>
    <w:rsid w:val="003B5DB0"/>
    <w:rsid w:val="003D7DFB"/>
    <w:rsid w:val="003E0F02"/>
    <w:rsid w:val="003F2C57"/>
    <w:rsid w:val="003F3223"/>
    <w:rsid w:val="003F55D3"/>
    <w:rsid w:val="003F74EE"/>
    <w:rsid w:val="00400F19"/>
    <w:rsid w:val="00425450"/>
    <w:rsid w:val="00435FCE"/>
    <w:rsid w:val="00437F27"/>
    <w:rsid w:val="0044481E"/>
    <w:rsid w:val="00450C77"/>
    <w:rsid w:val="00460748"/>
    <w:rsid w:val="00467C99"/>
    <w:rsid w:val="00482399"/>
    <w:rsid w:val="004946FF"/>
    <w:rsid w:val="004A43BD"/>
    <w:rsid w:val="004A73F3"/>
    <w:rsid w:val="004B6958"/>
    <w:rsid w:val="004D7194"/>
    <w:rsid w:val="004F17D0"/>
    <w:rsid w:val="004F2604"/>
    <w:rsid w:val="004F4B91"/>
    <w:rsid w:val="0050345A"/>
    <w:rsid w:val="005153AE"/>
    <w:rsid w:val="00530D4D"/>
    <w:rsid w:val="0056018A"/>
    <w:rsid w:val="00592D13"/>
    <w:rsid w:val="005A3081"/>
    <w:rsid w:val="005A5FFA"/>
    <w:rsid w:val="005A7619"/>
    <w:rsid w:val="005B7535"/>
    <w:rsid w:val="005E18E1"/>
    <w:rsid w:val="005E22C8"/>
    <w:rsid w:val="0060121B"/>
    <w:rsid w:val="006021FB"/>
    <w:rsid w:val="00612C73"/>
    <w:rsid w:val="00612C7D"/>
    <w:rsid w:val="00625756"/>
    <w:rsid w:val="00647B61"/>
    <w:rsid w:val="00664190"/>
    <w:rsid w:val="0068285F"/>
    <w:rsid w:val="00684C55"/>
    <w:rsid w:val="006B4427"/>
    <w:rsid w:val="006E1744"/>
    <w:rsid w:val="006E36A8"/>
    <w:rsid w:val="00713E28"/>
    <w:rsid w:val="00723080"/>
    <w:rsid w:val="00752DFB"/>
    <w:rsid w:val="00764C0D"/>
    <w:rsid w:val="007A3458"/>
    <w:rsid w:val="007B03AA"/>
    <w:rsid w:val="007B6251"/>
    <w:rsid w:val="007C1294"/>
    <w:rsid w:val="007C5836"/>
    <w:rsid w:val="007D6DD1"/>
    <w:rsid w:val="007E2F93"/>
    <w:rsid w:val="007E3CF7"/>
    <w:rsid w:val="007F2DCD"/>
    <w:rsid w:val="007F430A"/>
    <w:rsid w:val="00803FC5"/>
    <w:rsid w:val="00813B73"/>
    <w:rsid w:val="0083607D"/>
    <w:rsid w:val="00843131"/>
    <w:rsid w:val="00851BD3"/>
    <w:rsid w:val="00856C34"/>
    <w:rsid w:val="00865EE7"/>
    <w:rsid w:val="00872B7C"/>
    <w:rsid w:val="0089508E"/>
    <w:rsid w:val="00895C67"/>
    <w:rsid w:val="008960C2"/>
    <w:rsid w:val="008A5914"/>
    <w:rsid w:val="008B4C05"/>
    <w:rsid w:val="008B7034"/>
    <w:rsid w:val="00910375"/>
    <w:rsid w:val="0091669D"/>
    <w:rsid w:val="009173C9"/>
    <w:rsid w:val="009435D0"/>
    <w:rsid w:val="00945EEA"/>
    <w:rsid w:val="00961AC5"/>
    <w:rsid w:val="00970944"/>
    <w:rsid w:val="009750DC"/>
    <w:rsid w:val="009B139B"/>
    <w:rsid w:val="009E78AD"/>
    <w:rsid w:val="009F2FAE"/>
    <w:rsid w:val="009F625B"/>
    <w:rsid w:val="00A077CA"/>
    <w:rsid w:val="00A17313"/>
    <w:rsid w:val="00A21E05"/>
    <w:rsid w:val="00AF100C"/>
    <w:rsid w:val="00AF7ACE"/>
    <w:rsid w:val="00B01460"/>
    <w:rsid w:val="00B0396F"/>
    <w:rsid w:val="00B248A7"/>
    <w:rsid w:val="00B66343"/>
    <w:rsid w:val="00B81C29"/>
    <w:rsid w:val="00BB5046"/>
    <w:rsid w:val="00BD0D8C"/>
    <w:rsid w:val="00BE0B9A"/>
    <w:rsid w:val="00C15046"/>
    <w:rsid w:val="00C373DE"/>
    <w:rsid w:val="00C37E43"/>
    <w:rsid w:val="00C83BE3"/>
    <w:rsid w:val="00CA0090"/>
    <w:rsid w:val="00CB0722"/>
    <w:rsid w:val="00CC0F5C"/>
    <w:rsid w:val="00CC43F5"/>
    <w:rsid w:val="00CD3C55"/>
    <w:rsid w:val="00CE0179"/>
    <w:rsid w:val="00CE4A41"/>
    <w:rsid w:val="00CE68E2"/>
    <w:rsid w:val="00CF392C"/>
    <w:rsid w:val="00D03BB3"/>
    <w:rsid w:val="00D06765"/>
    <w:rsid w:val="00D117E9"/>
    <w:rsid w:val="00D31A7E"/>
    <w:rsid w:val="00D41A07"/>
    <w:rsid w:val="00D50ACD"/>
    <w:rsid w:val="00D663B1"/>
    <w:rsid w:val="00D810C3"/>
    <w:rsid w:val="00DB488B"/>
    <w:rsid w:val="00DC1128"/>
    <w:rsid w:val="00DD1165"/>
    <w:rsid w:val="00DD6510"/>
    <w:rsid w:val="00E017B8"/>
    <w:rsid w:val="00E17F60"/>
    <w:rsid w:val="00E3299C"/>
    <w:rsid w:val="00E35FB3"/>
    <w:rsid w:val="00E54AE3"/>
    <w:rsid w:val="00E75559"/>
    <w:rsid w:val="00E76BE8"/>
    <w:rsid w:val="00E7702D"/>
    <w:rsid w:val="00E84DA0"/>
    <w:rsid w:val="00F40E0E"/>
    <w:rsid w:val="00F60DA1"/>
    <w:rsid w:val="00F618F3"/>
    <w:rsid w:val="00F636B5"/>
    <w:rsid w:val="00F7171E"/>
    <w:rsid w:val="00F7685D"/>
    <w:rsid w:val="00F77979"/>
    <w:rsid w:val="00F81A69"/>
    <w:rsid w:val="00FA1A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2C0F7"/>
  <w15:docId w15:val="{3790CA83-CDAA-47B2-9056-F67566E6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223"/>
    <w:pPr>
      <w:widowControl w:val="0"/>
      <w:suppressAutoHyphens/>
      <w:spacing w:after="0" w:line="240" w:lineRule="auto"/>
    </w:pPr>
    <w:rPr>
      <w:rFonts w:ascii="Times New Roman" w:eastAsia="HG Mincho Light J" w:hAnsi="Times New Roman" w:cs="Times New Roman"/>
      <w:color w:val="000000"/>
      <w:sz w:val="24"/>
      <w:szCs w:val="20"/>
      <w:lang w:eastAsia="et-EE"/>
    </w:rPr>
  </w:style>
  <w:style w:type="paragraph" w:styleId="Heading1">
    <w:name w:val="heading 1"/>
    <w:next w:val="Normal"/>
    <w:link w:val="Heading1Char"/>
    <w:uiPriority w:val="9"/>
    <w:qFormat/>
    <w:rsid w:val="0019780D"/>
    <w:pPr>
      <w:keepNext/>
      <w:keepLines/>
      <w:spacing w:after="13" w:line="249" w:lineRule="auto"/>
      <w:ind w:left="18" w:hanging="10"/>
      <w:outlineLvl w:val="0"/>
    </w:pPr>
    <w:rPr>
      <w:rFonts w:ascii="Times New Roman" w:eastAsia="Times New Roman" w:hAnsi="Times New Roman" w:cs="Times New Roman"/>
      <w:b/>
      <w:color w:val="000000"/>
      <w:kern w:val="2"/>
      <w:sz w:val="24"/>
      <w:szCs w:val="24"/>
      <w:lang w:eastAsia="et-EE"/>
      <w14:ligatures w14:val="standardContextual"/>
    </w:rPr>
  </w:style>
  <w:style w:type="paragraph" w:styleId="Heading2">
    <w:name w:val="heading 2"/>
    <w:next w:val="Normal"/>
    <w:link w:val="Heading2Char"/>
    <w:uiPriority w:val="9"/>
    <w:unhideWhenUsed/>
    <w:qFormat/>
    <w:rsid w:val="0019780D"/>
    <w:pPr>
      <w:keepNext/>
      <w:keepLines/>
      <w:spacing w:after="13" w:line="249" w:lineRule="auto"/>
      <w:ind w:left="18" w:hanging="10"/>
      <w:outlineLvl w:val="1"/>
    </w:pPr>
    <w:rPr>
      <w:rFonts w:ascii="Times New Roman" w:eastAsia="Times New Roman" w:hAnsi="Times New Roman" w:cs="Times New Roman"/>
      <w:b/>
      <w:color w:val="000000"/>
      <w:kern w:val="2"/>
      <w:sz w:val="24"/>
      <w:szCs w:val="24"/>
      <w:lang w:eastAsia="et-EE"/>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HeaderChar">
    <w:name w:val="Header Char"/>
    <w:basedOn w:val="DefaultParagraphFont"/>
    <w:link w:val="Header"/>
    <w:uiPriority w:val="99"/>
    <w:rsid w:val="00F636B5"/>
  </w:style>
  <w:style w:type="paragraph" w:styleId="Footer">
    <w:name w:val="footer"/>
    <w:basedOn w:val="Normal"/>
    <w:link w:val="FooterChar"/>
    <w:uiPriority w:val="99"/>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FooterChar">
    <w:name w:val="Footer Char"/>
    <w:basedOn w:val="DefaultParagraphFont"/>
    <w:link w:val="Footer"/>
    <w:uiPriority w:val="99"/>
    <w:rsid w:val="00F636B5"/>
  </w:style>
  <w:style w:type="paragraph" w:styleId="BalloonText">
    <w:name w:val="Balloon Text"/>
    <w:basedOn w:val="Normal"/>
    <w:link w:val="BalloonTextChar"/>
    <w:uiPriority w:val="99"/>
    <w:semiHidden/>
    <w:unhideWhenUsed/>
    <w:rsid w:val="00F636B5"/>
    <w:pPr>
      <w:widowControl/>
      <w:suppressAutoHyphens w:val="0"/>
    </w:pPr>
    <w:rPr>
      <w:rFonts w:ascii="Tahoma" w:eastAsiaTheme="minorHAnsi"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F636B5"/>
    <w:rPr>
      <w:rFonts w:ascii="Tahoma" w:hAnsi="Tahoma" w:cs="Tahoma"/>
      <w:sz w:val="16"/>
      <w:szCs w:val="16"/>
    </w:rPr>
  </w:style>
  <w:style w:type="character" w:styleId="Hyperlink">
    <w:name w:val="Hyperlink"/>
    <w:rsid w:val="003F3223"/>
    <w:rPr>
      <w:color w:val="0000FF"/>
      <w:u w:val="single"/>
    </w:rPr>
  </w:style>
  <w:style w:type="character" w:customStyle="1" w:styleId="style4style5style6">
    <w:name w:val="style4 style5 style6"/>
    <w:basedOn w:val="DefaultParagraphFont"/>
    <w:rsid w:val="003F3223"/>
  </w:style>
  <w:style w:type="paragraph" w:customStyle="1" w:styleId="Default">
    <w:name w:val="Default"/>
    <w:rsid w:val="003F3223"/>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styleId="ListParagraph">
    <w:name w:val="List Paragraph"/>
    <w:basedOn w:val="Normal"/>
    <w:uiPriority w:val="34"/>
    <w:qFormat/>
    <w:rsid w:val="007B03AA"/>
    <w:pPr>
      <w:ind w:left="720"/>
      <w:contextualSpacing/>
    </w:pPr>
  </w:style>
  <w:style w:type="character" w:styleId="UnresolvedMention">
    <w:name w:val="Unresolved Mention"/>
    <w:basedOn w:val="DefaultParagraphFont"/>
    <w:uiPriority w:val="99"/>
    <w:semiHidden/>
    <w:unhideWhenUsed/>
    <w:rsid w:val="007C1294"/>
    <w:rPr>
      <w:color w:val="605E5C"/>
      <w:shd w:val="clear" w:color="auto" w:fill="E1DFDD"/>
    </w:rPr>
  </w:style>
  <w:style w:type="character" w:customStyle="1" w:styleId="Heading1Char">
    <w:name w:val="Heading 1 Char"/>
    <w:basedOn w:val="DefaultParagraphFont"/>
    <w:link w:val="Heading1"/>
    <w:uiPriority w:val="9"/>
    <w:rsid w:val="0019780D"/>
    <w:rPr>
      <w:rFonts w:ascii="Times New Roman" w:eastAsia="Times New Roman" w:hAnsi="Times New Roman" w:cs="Times New Roman"/>
      <w:b/>
      <w:color w:val="000000"/>
      <w:kern w:val="2"/>
      <w:sz w:val="24"/>
      <w:szCs w:val="24"/>
      <w:lang w:eastAsia="et-EE"/>
      <w14:ligatures w14:val="standardContextual"/>
    </w:rPr>
  </w:style>
  <w:style w:type="character" w:customStyle="1" w:styleId="Heading2Char">
    <w:name w:val="Heading 2 Char"/>
    <w:basedOn w:val="DefaultParagraphFont"/>
    <w:link w:val="Heading2"/>
    <w:uiPriority w:val="9"/>
    <w:rsid w:val="0019780D"/>
    <w:rPr>
      <w:rFonts w:ascii="Times New Roman" w:eastAsia="Times New Roman" w:hAnsi="Times New Roman" w:cs="Times New Roman"/>
      <w:b/>
      <w:color w:val="000000"/>
      <w:kern w:val="2"/>
      <w:sz w:val="24"/>
      <w:szCs w:val="24"/>
      <w:lang w:eastAsia="et-EE"/>
      <w14:ligatures w14:val="standardContextual"/>
    </w:rPr>
  </w:style>
  <w:style w:type="paragraph" w:customStyle="1" w:styleId="Body">
    <w:name w:val="Body"/>
    <w:rsid w:val="0019780D"/>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et-EE"/>
      <w14:textOutline w14:w="0" w14:cap="flat" w14:cmpd="sng" w14:algn="ctr">
        <w14:noFill/>
        <w14:prstDash w14:val="solid"/>
        <w14:bevel/>
      </w14:textOutline>
    </w:rPr>
  </w:style>
  <w:style w:type="paragraph" w:customStyle="1" w:styleId="footnotedescription">
    <w:name w:val="footnote description"/>
    <w:next w:val="Normal"/>
    <w:link w:val="footnotedescriptionChar"/>
    <w:hidden/>
    <w:rsid w:val="0019780D"/>
    <w:pPr>
      <w:spacing w:after="0" w:line="239" w:lineRule="auto"/>
    </w:pPr>
    <w:rPr>
      <w:rFonts w:ascii="Times New Roman" w:eastAsia="Times New Roman" w:hAnsi="Times New Roman" w:cs="Times New Roman"/>
      <w:color w:val="000000"/>
      <w:kern w:val="2"/>
      <w:sz w:val="20"/>
      <w:szCs w:val="24"/>
      <w:lang w:eastAsia="et-EE"/>
      <w14:ligatures w14:val="standardContextual"/>
    </w:rPr>
  </w:style>
  <w:style w:type="character" w:customStyle="1" w:styleId="footnotedescriptionChar">
    <w:name w:val="footnote description Char"/>
    <w:link w:val="footnotedescription"/>
    <w:rsid w:val="0019780D"/>
    <w:rPr>
      <w:rFonts w:ascii="Times New Roman" w:eastAsia="Times New Roman" w:hAnsi="Times New Roman" w:cs="Times New Roman"/>
      <w:color w:val="000000"/>
      <w:kern w:val="2"/>
      <w:sz w:val="20"/>
      <w:szCs w:val="24"/>
      <w:lang w:eastAsia="et-EE"/>
      <w14:ligatures w14:val="standardContextual"/>
    </w:rPr>
  </w:style>
  <w:style w:type="character" w:customStyle="1" w:styleId="footnotemark">
    <w:name w:val="footnote mark"/>
    <w:hidden/>
    <w:rsid w:val="0019780D"/>
    <w:rPr>
      <w:rFonts w:ascii="Times New Roman" w:eastAsia="Times New Roman" w:hAnsi="Times New Roman" w:cs="Times New Roman"/>
      <w:color w:val="000000"/>
      <w:sz w:val="18"/>
      <w:vertAlign w:val="superscript"/>
    </w:rPr>
  </w:style>
  <w:style w:type="paragraph" w:styleId="FootnoteText">
    <w:name w:val="footnote text"/>
    <w:basedOn w:val="Normal"/>
    <w:link w:val="FootnoteTextChar"/>
    <w:uiPriority w:val="99"/>
    <w:semiHidden/>
    <w:unhideWhenUsed/>
    <w:rsid w:val="005A3081"/>
    <w:rPr>
      <w:sz w:val="20"/>
    </w:rPr>
  </w:style>
  <w:style w:type="character" w:customStyle="1" w:styleId="FootnoteTextChar">
    <w:name w:val="Footnote Text Char"/>
    <w:basedOn w:val="DefaultParagraphFont"/>
    <w:link w:val="FootnoteText"/>
    <w:uiPriority w:val="99"/>
    <w:semiHidden/>
    <w:rsid w:val="005A3081"/>
    <w:rPr>
      <w:rFonts w:ascii="Times New Roman" w:eastAsia="HG Mincho Light J" w:hAnsi="Times New Roman" w:cs="Times New Roman"/>
      <w:color w:val="000000"/>
      <w:sz w:val="20"/>
      <w:szCs w:val="20"/>
      <w:lang w:eastAsia="et-EE"/>
    </w:rPr>
  </w:style>
  <w:style w:type="character" w:styleId="FootnoteReference">
    <w:name w:val="footnote reference"/>
    <w:basedOn w:val="DefaultParagraphFont"/>
    <w:uiPriority w:val="99"/>
    <w:semiHidden/>
    <w:unhideWhenUsed/>
    <w:rsid w:val="005A30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advokatuur@advokatuur.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086C4-965E-4052-A35B-E02E5E4C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954</Words>
  <Characters>5538</Characters>
  <Application>Microsoft Office Word</Application>
  <DocSecurity>0</DocSecurity>
  <Lines>46</Lines>
  <Paragraphs>12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Ettevõte</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Svea Žurba</dc:creator>
  <cp:lastModifiedBy>Merit Aavekukk-Tamm</cp:lastModifiedBy>
  <cp:revision>54</cp:revision>
  <cp:lastPrinted>2024-09-26T08:29:00Z</cp:lastPrinted>
  <dcterms:created xsi:type="dcterms:W3CDTF">2025-02-03T10:44:00Z</dcterms:created>
  <dcterms:modified xsi:type="dcterms:W3CDTF">2025-05-28T09:57:00Z</dcterms:modified>
</cp:coreProperties>
</file>